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b/>
          <w:sz w:val="48"/>
          <w:szCs w:val="52"/>
          <w14:shadow w14:blurRad="50800" w14:dist="38100" w14:dir="2700000" w14:sx="100000" w14:sy="100000" w14:kx="0" w14:ky="0" w14:algn="tl">
            <w14:srgbClr w14:val="000000">
              <w14:alpha w14:val="60000"/>
            </w14:srgbClr>
          </w14:shadow>
        </w:rPr>
      </w:pPr>
      <w:bookmarkStart w:id="9" w:name="_GoBack"/>
      <w:bookmarkEnd w:id="9"/>
      <w:r>
        <w:rPr>
          <w:rFonts w:hint="eastAsia" w:ascii="宋体" w:hAnsi="宋体"/>
          <w:b/>
          <w:sz w:val="48"/>
          <w:szCs w:val="52"/>
          <w14:shadow w14:blurRad="50800" w14:dist="38100" w14:dir="2700000" w14:sx="100000" w14:sy="100000" w14:kx="0" w14:ky="0" w14:algn="tl">
            <w14:srgbClr w14:val="000000">
              <w14:alpha w14:val="60000"/>
            </w14:srgbClr>
          </w14:shadow>
        </w:rPr>
        <w:t>江苏师范大学</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科文学院潘安湖校区校园网运维项目</w:t>
      </w:r>
    </w:p>
    <w:p>
      <w:pPr>
        <w:spacing w:line="360" w:lineRule="auto"/>
        <w:jc w:val="center"/>
        <w:rPr>
          <w:rFonts w:ascii="宋体" w:hAnsi="宋体"/>
          <w:b/>
          <w:sz w:val="36"/>
          <w:szCs w:val="52"/>
          <w14:shadow w14:blurRad="50800" w14:dist="38100" w14:dir="2700000" w14:sx="100000" w14:sy="100000" w14:kx="0" w14:ky="0" w14:algn="tl">
            <w14:srgbClr w14:val="000000">
              <w14:alpha w14:val="60000"/>
            </w14:srgbClr>
          </w14:shadow>
        </w:rPr>
      </w:pPr>
      <w:r>
        <w:rPr>
          <w:rFonts w:hint="eastAsia" w:ascii="宋体" w:hAnsi="宋体"/>
          <w:b/>
          <w:sz w:val="36"/>
          <w:szCs w:val="52"/>
          <w14:shadow w14:blurRad="50800" w14:dist="38100" w14:dir="2700000" w14:sx="100000" w14:sy="100000" w14:kx="0" w14:ky="0" w14:algn="tl">
            <w14:srgbClr w14:val="000000">
              <w14:alpha w14:val="60000"/>
            </w14:srgbClr>
          </w14:shadow>
        </w:rPr>
        <w:t>（No：</w:t>
      </w:r>
      <w:r>
        <w:rPr>
          <w:rFonts w:hint="eastAsia" w:ascii="宋体" w:hAnsi="宋体"/>
          <w:b/>
          <w:sz w:val="40"/>
          <w:szCs w:val="52"/>
          <w:lang w:val="en-US" w:eastAsia="zh-CN"/>
          <w14:shadow w14:blurRad="50800" w14:dist="38100" w14:dir="2700000" w14:sx="100000" w14:sy="100000" w14:kx="0" w14:ky="0" w14:algn="tl">
            <w14:srgbClr w14:val="000000">
              <w14:alpha w14:val="60000"/>
            </w14:srgbClr>
          </w14:shadow>
        </w:rPr>
        <w:t>2</w:t>
      </w:r>
      <w:r>
        <w:rPr>
          <w:rFonts w:hint="eastAsia" w:ascii="宋体" w:hAnsi="宋体"/>
          <w:b/>
          <w:sz w:val="40"/>
          <w:szCs w:val="52"/>
          <w:lang w:val="en-US" w:eastAsia="zh-CN"/>
          <w14:shadow w14:blurRad="50800" w14:dist="38100" w14:dir="2700000" w14:sx="100000" w14:sy="100000" w14:kx="0" w14:ky="0" w14:algn="tl">
            <w14:srgbClr w14:val="000000">
              <w14:alpha w14:val="60000"/>
            </w14:srgbClr>
          </w14:shadow>
        </w:rPr>
        <w:t>021F001</w:t>
      </w:r>
      <w:r>
        <w:rPr>
          <w:rFonts w:hint="eastAsia" w:ascii="宋体" w:hAnsi="宋体"/>
          <w:b/>
          <w:sz w:val="36"/>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hint="eastAsia"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hint="eastAsia"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hint="eastAsia"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eastAsia="宋体"/>
          <w:sz w:val="32"/>
          <w:lang w:eastAsia="zh-CN"/>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w:t>
      </w:r>
      <w:r>
        <w:rPr>
          <w:rFonts w:hint="eastAsia" w:ascii="宋体" w:hAnsi="宋体"/>
          <w:sz w:val="32"/>
          <w:lang w:eastAsia="zh-CN"/>
          <w14:shadow w14:blurRad="50800" w14:dist="38100" w14:dir="2700000" w14:sx="100000" w14:sy="100000" w14:kx="0" w14:ky="0" w14:algn="tl">
            <w14:srgbClr w14:val="000000">
              <w14:alpha w14:val="60000"/>
            </w14:srgbClr>
          </w14:shadow>
        </w:rPr>
        <w:t>科文学院集中采购中心</w:t>
      </w: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lang w:val="en-US" w:eastAsia="zh-CN"/>
          <w14:shadow w14:blurRad="50800" w14:dist="38100" w14:dir="2700000" w14:sx="100000" w14:sy="100000" w14:kx="0" w14:ky="0" w14:algn="tl">
            <w14:srgbClr w14:val="000000">
              <w14:alpha w14:val="60000"/>
            </w14:srgbClr>
          </w14:shadow>
        </w:rPr>
        <w:t>1</w:t>
      </w:r>
      <w:r>
        <w:rPr>
          <w:rFonts w:hint="eastAsia" w:ascii="宋体" w:hAnsi="宋体"/>
          <w:sz w:val="32"/>
          <w14:shadow w14:blurRad="50800" w14:dist="38100" w14:dir="2700000" w14:sx="100000" w14:sy="100000" w14:kx="0" w14:ky="0" w14:algn="tl">
            <w14:srgbClr w14:val="000000">
              <w14:alpha w14:val="60000"/>
            </w14:srgbClr>
          </w14:shadow>
        </w:rPr>
        <w:t>年</w:t>
      </w:r>
      <w:r>
        <w:rPr>
          <w:rFonts w:ascii="宋体" w:hAnsi="宋体"/>
          <w:sz w:val="32"/>
          <w14:shadow w14:blurRad="50800" w14:dist="38100" w14:dir="2700000" w14:sx="100000" w14:sy="100000" w14:kx="0" w14:ky="0" w14:algn="tl">
            <w14:srgbClr w14:val="000000">
              <w14:alpha w14:val="60000"/>
            </w14:srgbClr>
          </w14:shadow>
        </w:rPr>
        <w:t>1</w:t>
      </w:r>
      <w:r>
        <w:rPr>
          <w:rFonts w:hint="eastAsia" w:ascii="宋体" w:hAnsi="宋体"/>
          <w:sz w:val="32"/>
          <w:lang w:val="en-US" w:eastAsia="zh-CN"/>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月</w:t>
      </w:r>
      <w:r>
        <w:rPr>
          <w:rFonts w:hint="eastAsia" w:ascii="宋体" w:hAnsi="宋体"/>
          <w:sz w:val="32"/>
          <w:lang w:val="en-US" w:eastAsia="zh-CN"/>
          <w14:shadow w14:blurRad="50800" w14:dist="38100" w14:dir="2700000" w14:sx="100000" w14:sy="100000" w14:kx="0" w14:ky="0" w14:algn="tl">
            <w14:srgbClr w14:val="000000">
              <w14:alpha w14:val="60000"/>
            </w14:srgbClr>
          </w14:shadow>
        </w:rPr>
        <w:t>30</w:t>
      </w:r>
      <w:r>
        <w:rPr>
          <w:rFonts w:hint="eastAsia" w:ascii="宋体" w:hAnsi="宋体"/>
          <w:sz w:val="32"/>
          <w14:shadow w14:blurRad="50800" w14:dist="38100" w14:dir="2700000" w14:sx="100000" w14:sy="100000" w14:kx="0" w14:ky="0" w14:algn="tl">
            <w14:srgbClr w14:val="000000">
              <w14:alpha w14:val="60000"/>
            </w14:srgbClr>
          </w14:shadow>
        </w:rPr>
        <w:t>日</w:t>
      </w:r>
    </w:p>
    <w:p>
      <w:pPr>
        <w:pStyle w:val="76"/>
        <w:numPr>
          <w:ilvl w:val="0"/>
          <w:numId w:val="0"/>
        </w:numPr>
        <w:spacing w:before="0" w:after="0" w:line="400" w:lineRule="exact"/>
        <w:outlineLvl w:val="9"/>
        <w:rPr>
          <w:rFonts w:hint="eastAsia" w:ascii="宋体" w:hAnsi="宋体"/>
          <w:sz w:val="24"/>
          <w:szCs w:val="24"/>
        </w:rPr>
      </w:pPr>
      <w:r>
        <w:rPr>
          <w:rFonts w:ascii="宋体" w:hAnsi="宋体"/>
        </w:rPr>
        <w:br w:type="page"/>
      </w:r>
      <w:r>
        <w:rPr>
          <w:rFonts w:hint="eastAsia" w:ascii="宋体" w:hAnsi="宋体"/>
          <w:sz w:val="24"/>
          <w:szCs w:val="24"/>
        </w:rPr>
        <w:t>第一章 总 则</w:t>
      </w:r>
    </w:p>
    <w:p>
      <w:pPr>
        <w:pStyle w:val="76"/>
        <w:numPr>
          <w:ilvl w:val="0"/>
          <w:numId w:val="0"/>
        </w:numPr>
        <w:spacing w:before="0" w:after="0"/>
        <w:ind w:firstLine="482" w:firstLineChars="200"/>
        <w:jc w:val="left"/>
        <w:outlineLvl w:val="9"/>
        <w:rPr>
          <w:rFonts w:hint="eastAsia" w:ascii="宋体" w:hAnsi="宋体"/>
          <w:sz w:val="24"/>
          <w:szCs w:val="24"/>
        </w:rPr>
      </w:pPr>
      <w:r>
        <w:rPr>
          <w:rFonts w:hint="eastAsia" w:ascii="宋体" w:hAnsi="宋体"/>
          <w:bCs w:val="0"/>
          <w:sz w:val="24"/>
          <w:szCs w:val="24"/>
        </w:rPr>
        <w:t>一、磋商文件</w:t>
      </w:r>
    </w:p>
    <w:p>
      <w:pPr>
        <w:pStyle w:val="55"/>
        <w:numPr>
          <w:ilvl w:val="0"/>
          <w:numId w:val="0"/>
        </w:numPr>
        <w:ind w:firstLine="480" w:firstLineChars="200"/>
        <w:jc w:val="left"/>
        <w:rPr>
          <w:rFonts w:hint="eastAsia"/>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55"/>
        <w:numPr>
          <w:ilvl w:val="0"/>
          <w:numId w:val="0"/>
        </w:numPr>
        <w:ind w:firstLine="472" w:firstLineChars="196"/>
        <w:jc w:val="left"/>
        <w:rPr>
          <w:rFonts w:hint="eastAsia"/>
          <w:b/>
          <w:sz w:val="24"/>
          <w:szCs w:val="24"/>
        </w:rPr>
      </w:pPr>
      <w:r>
        <w:rPr>
          <w:rFonts w:hint="eastAsia"/>
          <w:b/>
          <w:sz w:val="24"/>
          <w:szCs w:val="24"/>
        </w:rPr>
        <w:t>2.磋商文件的澄清</w:t>
      </w:r>
    </w:p>
    <w:p>
      <w:pPr>
        <w:pStyle w:val="55"/>
        <w:numPr>
          <w:ilvl w:val="0"/>
          <w:numId w:val="0"/>
        </w:numPr>
        <w:ind w:firstLine="480" w:firstLineChars="200"/>
        <w:jc w:val="left"/>
        <w:rPr>
          <w:sz w:val="24"/>
          <w:szCs w:val="24"/>
        </w:rPr>
      </w:pPr>
      <w:r>
        <w:rPr>
          <w:rFonts w:hint="eastAsia"/>
          <w:sz w:val="24"/>
          <w:szCs w:val="24"/>
        </w:rPr>
        <w:t>投标人可要</w:t>
      </w:r>
      <w:r>
        <w:rPr>
          <w:rFonts w:hint="eastAsia"/>
          <w:sz w:val="24"/>
          <w:szCs w:val="24"/>
          <w:highlight w:val="none"/>
        </w:rPr>
        <w:t>求对磋商文件进行澄清。澄清要求应在规定时间以书面形式（须加盖单位公章）送达我</w:t>
      </w:r>
      <w:r>
        <w:rPr>
          <w:rFonts w:hint="eastAsia"/>
          <w:sz w:val="24"/>
          <w:szCs w:val="24"/>
          <w:highlight w:val="none"/>
          <w:lang w:eastAsia="zh-CN"/>
        </w:rPr>
        <w:t>院集中采购中心</w:t>
      </w:r>
      <w:r>
        <w:rPr>
          <w:rFonts w:hint="eastAsia"/>
          <w:sz w:val="24"/>
          <w:szCs w:val="24"/>
          <w:highlight w:val="none"/>
        </w:rPr>
        <w:t>，同时将澄清要求以WORD文档形式发送到</w:t>
      </w:r>
      <w:r>
        <w:rPr>
          <w:rFonts w:hint="eastAsia"/>
          <w:sz w:val="24"/>
          <w:szCs w:val="24"/>
          <w:highlight w:val="none"/>
          <w:lang w:eastAsia="zh-CN"/>
        </w:rPr>
        <w:t>集中采购中心</w:t>
      </w:r>
      <w:r>
        <w:rPr>
          <w:rFonts w:hint="eastAsia"/>
          <w:sz w:val="24"/>
          <w:szCs w:val="24"/>
          <w:highlight w:val="none"/>
        </w:rPr>
        <w:t>邮箱（</w:t>
      </w:r>
      <w:r>
        <w:rPr>
          <w:rFonts w:hint="eastAsia"/>
          <w:color w:val="000000"/>
          <w:sz w:val="24"/>
          <w:szCs w:val="24"/>
          <w:highlight w:val="none"/>
          <w:shd w:val="clear" w:color="auto" w:fill="FFFFFF"/>
          <w:lang w:val="en-US" w:eastAsia="zh-CN"/>
        </w:rPr>
        <w:t>kwxyjzcg@126.com</w:t>
      </w:r>
      <w:r>
        <w:rPr>
          <w:rFonts w:hint="eastAsia"/>
          <w:sz w:val="24"/>
          <w:szCs w:val="24"/>
          <w:highlight w:val="none"/>
        </w:rPr>
        <w:t>）。</w:t>
      </w:r>
      <w:r>
        <w:rPr>
          <w:rFonts w:hint="eastAsia"/>
          <w:sz w:val="24"/>
          <w:szCs w:val="24"/>
          <w:highlight w:val="none"/>
          <w:lang w:eastAsia="zh-CN"/>
        </w:rPr>
        <w:t>集中采购中心</w:t>
      </w:r>
      <w:r>
        <w:rPr>
          <w:rFonts w:hint="eastAsia"/>
          <w:sz w:val="24"/>
          <w:szCs w:val="24"/>
          <w:highlight w:val="none"/>
        </w:rPr>
        <w:t>将以书面形式或通过</w:t>
      </w:r>
      <w:r>
        <w:rPr>
          <w:rFonts w:hint="eastAsia"/>
          <w:kern w:val="2"/>
          <w:sz w:val="24"/>
          <w:szCs w:val="24"/>
          <w:highlight w:val="none"/>
        </w:rPr>
        <w:t>“</w:t>
      </w:r>
      <w:r>
        <w:rPr>
          <w:rFonts w:hint="eastAsia"/>
          <w:kern w:val="2"/>
          <w:sz w:val="24"/>
          <w:szCs w:val="24"/>
          <w:highlight w:val="none"/>
          <w:lang w:eastAsia="zh-CN"/>
        </w:rPr>
        <w:t>江苏师范大学科文学院网站</w:t>
      </w:r>
      <w:r>
        <w:rPr>
          <w:rFonts w:hint="eastAsia"/>
          <w:kern w:val="2"/>
          <w:sz w:val="24"/>
          <w:szCs w:val="24"/>
          <w:highlight w:val="none"/>
        </w:rPr>
        <w:t>”（http://kwxy.jsnu.edu.cn/）发布</w:t>
      </w:r>
      <w:r>
        <w:rPr>
          <w:rFonts w:hint="eastAsia"/>
          <w:sz w:val="24"/>
          <w:szCs w:val="24"/>
          <w:highlight w:val="none"/>
        </w:rPr>
        <w:t>公告。</w:t>
      </w:r>
    </w:p>
    <w:p>
      <w:pPr>
        <w:pStyle w:val="55"/>
        <w:numPr>
          <w:ilvl w:val="0"/>
          <w:numId w:val="0"/>
        </w:numPr>
        <w:ind w:firstLine="472" w:firstLineChars="196"/>
        <w:jc w:val="left"/>
        <w:rPr>
          <w:rFonts w:hint="eastAsia"/>
          <w:b/>
          <w:sz w:val="24"/>
          <w:szCs w:val="24"/>
        </w:rPr>
      </w:pPr>
      <w:r>
        <w:rPr>
          <w:rFonts w:hint="eastAsia"/>
          <w:b/>
          <w:sz w:val="24"/>
          <w:szCs w:val="24"/>
        </w:rPr>
        <w:t>3.磋商文件的修改</w:t>
      </w:r>
    </w:p>
    <w:p>
      <w:pPr>
        <w:pStyle w:val="55"/>
        <w:numPr>
          <w:ilvl w:val="0"/>
          <w:numId w:val="0"/>
        </w:numPr>
        <w:ind w:firstLine="480" w:firstLineChars="200"/>
        <w:jc w:val="left"/>
        <w:rPr>
          <w:rFonts w:hint="eastAsia"/>
          <w:sz w:val="24"/>
          <w:szCs w:val="24"/>
          <w:highlight w:val="none"/>
        </w:rPr>
      </w:pPr>
      <w:r>
        <w:rPr>
          <w:rFonts w:hint="eastAsia"/>
          <w:sz w:val="24"/>
          <w:szCs w:val="24"/>
        </w:rPr>
        <w:t>3.1在投标截止期5日以前任何时候，采购人无论出于何种原因，均可对磋商文件用补充文件的方式进行修改。</w:t>
      </w:r>
    </w:p>
    <w:p>
      <w:pPr>
        <w:pStyle w:val="55"/>
        <w:numPr>
          <w:ilvl w:val="0"/>
          <w:numId w:val="0"/>
        </w:numPr>
        <w:ind w:firstLine="480" w:firstLineChars="200"/>
        <w:jc w:val="left"/>
        <w:rPr>
          <w:rFonts w:hint="eastAsia"/>
          <w:sz w:val="24"/>
          <w:szCs w:val="24"/>
          <w:highlight w:val="none"/>
        </w:rPr>
      </w:pPr>
      <w:r>
        <w:rPr>
          <w:rFonts w:hint="eastAsia"/>
          <w:sz w:val="24"/>
          <w:szCs w:val="24"/>
          <w:highlight w:val="none"/>
        </w:rPr>
        <w:t>3.2对磋商文件的修改，将通过</w:t>
      </w:r>
      <w:r>
        <w:rPr>
          <w:rFonts w:hint="eastAsia"/>
          <w:kern w:val="2"/>
          <w:sz w:val="24"/>
          <w:szCs w:val="24"/>
          <w:highlight w:val="none"/>
        </w:rPr>
        <w:t>“</w:t>
      </w:r>
      <w:r>
        <w:rPr>
          <w:rFonts w:hint="eastAsia"/>
          <w:kern w:val="2"/>
          <w:sz w:val="24"/>
          <w:szCs w:val="24"/>
          <w:highlight w:val="none"/>
          <w:lang w:eastAsia="zh-CN"/>
        </w:rPr>
        <w:t>江苏师范大学科文学院网站</w:t>
      </w:r>
      <w:r>
        <w:rPr>
          <w:rFonts w:hint="eastAsia"/>
          <w:kern w:val="2"/>
          <w:sz w:val="24"/>
          <w:szCs w:val="24"/>
          <w:highlight w:val="none"/>
        </w:rPr>
        <w:t>”（http://kwxy.jsnu.edu.cn/）发布</w:t>
      </w:r>
      <w:r>
        <w:rPr>
          <w:rFonts w:hint="eastAsia"/>
          <w:sz w:val="24"/>
          <w:szCs w:val="24"/>
          <w:highlight w:val="none"/>
        </w:rPr>
        <w:t>公告。补充文件将作为磋商文件的组成部分，对所有领取了磋商文件的投标人均具有约束力。</w:t>
      </w:r>
    </w:p>
    <w:p>
      <w:pPr>
        <w:pStyle w:val="55"/>
        <w:numPr>
          <w:ilvl w:val="0"/>
          <w:numId w:val="0"/>
        </w:numPr>
        <w:ind w:firstLine="480" w:firstLineChars="200"/>
        <w:jc w:val="left"/>
        <w:rPr>
          <w:rFonts w:hint="eastAsia"/>
          <w:sz w:val="24"/>
          <w:szCs w:val="24"/>
          <w:highlight w:val="none"/>
        </w:rPr>
      </w:pPr>
      <w:r>
        <w:rPr>
          <w:rFonts w:hint="eastAsia"/>
          <w:sz w:val="24"/>
          <w:szCs w:val="24"/>
          <w:highlight w:val="none"/>
        </w:rPr>
        <w:t>3.3为使投标人有足够的时间按磋商文件的修改要求考虑修正磋商文件，采购人可酌情推迟投标日期，并将具体变更情况通过</w:t>
      </w:r>
      <w:r>
        <w:rPr>
          <w:rFonts w:hint="eastAsia"/>
          <w:kern w:val="2"/>
          <w:sz w:val="24"/>
          <w:szCs w:val="24"/>
          <w:highlight w:val="none"/>
        </w:rPr>
        <w:t xml:space="preserve"> “江苏师范大学</w:t>
      </w:r>
      <w:r>
        <w:rPr>
          <w:rFonts w:hint="eastAsia"/>
          <w:kern w:val="2"/>
          <w:sz w:val="24"/>
          <w:szCs w:val="24"/>
          <w:highlight w:val="none"/>
          <w:lang w:eastAsia="zh-CN"/>
        </w:rPr>
        <w:t>科文学院网站</w:t>
      </w:r>
      <w:r>
        <w:rPr>
          <w:rFonts w:hint="eastAsia"/>
          <w:kern w:val="2"/>
          <w:sz w:val="24"/>
          <w:szCs w:val="24"/>
          <w:highlight w:val="none"/>
        </w:rPr>
        <w:t>”</w:t>
      </w:r>
      <w:r>
        <w:rPr>
          <w:rFonts w:hint="eastAsia"/>
          <w:sz w:val="24"/>
          <w:szCs w:val="24"/>
          <w:highlight w:val="none"/>
        </w:rPr>
        <w:t>公告。</w:t>
      </w:r>
    </w:p>
    <w:p>
      <w:pPr>
        <w:pStyle w:val="55"/>
        <w:numPr>
          <w:ilvl w:val="0"/>
          <w:numId w:val="0"/>
        </w:numPr>
        <w:ind w:firstLine="472" w:firstLineChars="196"/>
        <w:jc w:val="left"/>
        <w:rPr>
          <w:rFonts w:hint="eastAsia"/>
          <w:b/>
          <w:sz w:val="24"/>
          <w:szCs w:val="24"/>
          <w:highlight w:val="none"/>
        </w:rPr>
      </w:pPr>
      <w:r>
        <w:rPr>
          <w:rFonts w:hint="eastAsia"/>
          <w:b/>
          <w:sz w:val="24"/>
          <w:szCs w:val="24"/>
          <w:highlight w:val="none"/>
        </w:rPr>
        <w:t>4. 通知</w:t>
      </w:r>
    </w:p>
    <w:p>
      <w:pPr>
        <w:pStyle w:val="55"/>
        <w:numPr>
          <w:ilvl w:val="0"/>
          <w:numId w:val="0"/>
        </w:numPr>
        <w:ind w:firstLine="480" w:firstLineChars="200"/>
        <w:jc w:val="left"/>
        <w:rPr>
          <w:sz w:val="24"/>
          <w:szCs w:val="24"/>
        </w:rPr>
      </w:pPr>
      <w:r>
        <w:rPr>
          <w:rFonts w:hint="eastAsia"/>
          <w:sz w:val="24"/>
          <w:szCs w:val="24"/>
          <w:highlight w:val="none"/>
        </w:rPr>
        <w:t>对与本项目有关的通知，采购人将通过 “</w:t>
      </w:r>
      <w:r>
        <w:rPr>
          <w:rFonts w:hint="eastAsia"/>
          <w:kern w:val="2"/>
          <w:sz w:val="24"/>
          <w:szCs w:val="24"/>
          <w:highlight w:val="none"/>
          <w:lang w:eastAsia="zh-CN"/>
        </w:rPr>
        <w:t>江苏师范大学科文学院网站</w:t>
      </w:r>
      <w:r>
        <w:rPr>
          <w:rFonts w:hint="eastAsia"/>
          <w:sz w:val="24"/>
          <w:szCs w:val="24"/>
          <w:highlight w:val="none"/>
        </w:rPr>
        <w:t>”发布公</w:t>
      </w:r>
      <w:r>
        <w:rPr>
          <w:rFonts w:hint="eastAsia"/>
          <w:sz w:val="24"/>
          <w:szCs w:val="24"/>
        </w:rPr>
        <w:t>告，请投标人自行关注。</w:t>
      </w:r>
    </w:p>
    <w:p>
      <w:pPr>
        <w:pStyle w:val="55"/>
        <w:numPr>
          <w:ilvl w:val="0"/>
          <w:numId w:val="0"/>
        </w:numPr>
        <w:ind w:firstLine="482" w:firstLineChars="200"/>
        <w:jc w:val="left"/>
        <w:rPr>
          <w:b/>
          <w:sz w:val="24"/>
          <w:szCs w:val="24"/>
        </w:rPr>
      </w:pPr>
      <w:r>
        <w:rPr>
          <w:rFonts w:hint="eastAsia"/>
          <w:b/>
          <w:sz w:val="24"/>
          <w:szCs w:val="24"/>
        </w:rPr>
        <w:t>5</w:t>
      </w:r>
      <w:r>
        <w:rPr>
          <w:b/>
          <w:sz w:val="24"/>
          <w:szCs w:val="24"/>
        </w:rPr>
        <w:t>.</w:t>
      </w:r>
      <w:r>
        <w:rPr>
          <w:rFonts w:hint="eastAsia"/>
          <w:b/>
          <w:sz w:val="24"/>
          <w:szCs w:val="24"/>
        </w:rPr>
        <w:t>付款方式</w:t>
      </w:r>
    </w:p>
    <w:p>
      <w:pPr>
        <w:pStyle w:val="55"/>
        <w:numPr>
          <w:ilvl w:val="0"/>
          <w:numId w:val="0"/>
        </w:numPr>
        <w:ind w:firstLine="480" w:firstLineChars="200"/>
        <w:jc w:val="left"/>
        <w:rPr>
          <w:rFonts w:hint="eastAsia"/>
          <w:sz w:val="24"/>
          <w:szCs w:val="24"/>
        </w:rPr>
      </w:pPr>
      <w:r>
        <w:rPr>
          <w:rFonts w:hint="eastAsia"/>
          <w:sz w:val="24"/>
          <w:szCs w:val="24"/>
        </w:rPr>
        <w:t>以季度为单位，每两季度结算一次维护费用，乙方须出具符合</w:t>
      </w:r>
      <w:r>
        <w:rPr>
          <w:rFonts w:hint="eastAsia"/>
          <w:sz w:val="24"/>
          <w:szCs w:val="24"/>
          <w:lang w:eastAsia="zh-CN"/>
        </w:rPr>
        <w:t>甲方</w:t>
      </w:r>
      <w:r>
        <w:rPr>
          <w:rFonts w:hint="eastAsia"/>
          <w:sz w:val="24"/>
          <w:szCs w:val="24"/>
        </w:rPr>
        <w:t>财务规定的票据。</w:t>
      </w:r>
    </w:p>
    <w:p>
      <w:pPr>
        <w:pStyle w:val="55"/>
        <w:numPr>
          <w:ilvl w:val="0"/>
          <w:numId w:val="0"/>
        </w:numPr>
        <w:ind w:firstLine="482" w:firstLineChars="200"/>
        <w:jc w:val="left"/>
        <w:rPr>
          <w:b/>
          <w:sz w:val="24"/>
          <w:szCs w:val="24"/>
        </w:rPr>
      </w:pPr>
      <w:r>
        <w:rPr>
          <w:b/>
          <w:sz w:val="24"/>
          <w:szCs w:val="24"/>
        </w:rPr>
        <w:t>6.</w:t>
      </w:r>
      <w:r>
        <w:rPr>
          <w:rFonts w:hint="eastAsia"/>
          <w:b/>
          <w:sz w:val="24"/>
          <w:szCs w:val="24"/>
        </w:rPr>
        <w:t>投标人资格条件</w:t>
      </w:r>
    </w:p>
    <w:p>
      <w:pPr>
        <w:widowControl/>
        <w:numPr>
          <w:ilvl w:val="0"/>
          <w:numId w:val="5"/>
        </w:numPr>
        <w:shd w:val="clear" w:color="auto" w:fill="FFFFFF"/>
        <w:jc w:val="left"/>
        <w:rPr>
          <w:rFonts w:ascii="宋体" w:hAnsi="宋体"/>
          <w:kern w:val="0"/>
          <w:sz w:val="24"/>
        </w:rPr>
      </w:pPr>
      <w:r>
        <w:rPr>
          <w:rFonts w:hint="eastAsia" w:ascii="宋体" w:hAnsi="宋体"/>
          <w:kern w:val="0"/>
          <w:sz w:val="24"/>
        </w:rPr>
        <w:t>具有独立承担民事责任的能力；</w:t>
      </w:r>
    </w:p>
    <w:p>
      <w:pPr>
        <w:widowControl/>
        <w:numPr>
          <w:ilvl w:val="0"/>
          <w:numId w:val="5"/>
        </w:numPr>
        <w:shd w:val="clear" w:color="auto" w:fill="FFFFFF"/>
        <w:jc w:val="left"/>
        <w:rPr>
          <w:rFonts w:hint="eastAsia" w:ascii="宋体" w:hAnsi="宋体"/>
          <w:kern w:val="0"/>
          <w:sz w:val="24"/>
        </w:rPr>
      </w:pPr>
      <w:r>
        <w:rPr>
          <w:rFonts w:hint="eastAsia" w:ascii="宋体" w:hAnsi="宋体"/>
          <w:kern w:val="0"/>
          <w:sz w:val="24"/>
        </w:rPr>
        <w:t>具有良好的商业信誉和健全的财务会计制度；</w:t>
      </w:r>
    </w:p>
    <w:p>
      <w:pPr>
        <w:widowControl/>
        <w:numPr>
          <w:ilvl w:val="0"/>
          <w:numId w:val="5"/>
        </w:numPr>
        <w:shd w:val="clear" w:color="auto" w:fill="FFFFFF"/>
        <w:jc w:val="left"/>
        <w:rPr>
          <w:rFonts w:hint="eastAsia" w:ascii="宋体" w:hAnsi="宋体"/>
          <w:kern w:val="0"/>
          <w:sz w:val="24"/>
        </w:rPr>
      </w:pPr>
      <w:r>
        <w:rPr>
          <w:rFonts w:hint="eastAsia" w:ascii="宋体" w:hAnsi="宋体"/>
          <w:kern w:val="0"/>
          <w:sz w:val="24"/>
        </w:rPr>
        <w:t>具有履行合同所必需的设备和专业技术能力；</w:t>
      </w:r>
    </w:p>
    <w:p>
      <w:pPr>
        <w:widowControl/>
        <w:numPr>
          <w:ilvl w:val="0"/>
          <w:numId w:val="5"/>
        </w:numPr>
        <w:shd w:val="clear" w:color="auto" w:fill="FFFFFF"/>
        <w:jc w:val="left"/>
        <w:rPr>
          <w:rFonts w:hint="eastAsia" w:ascii="宋体" w:hAnsi="宋体"/>
          <w:kern w:val="0"/>
          <w:sz w:val="24"/>
        </w:rPr>
      </w:pPr>
      <w:r>
        <w:rPr>
          <w:rFonts w:hint="eastAsia" w:ascii="宋体" w:hAnsi="宋体"/>
          <w:kern w:val="0"/>
          <w:sz w:val="24"/>
        </w:rPr>
        <w:t>依法缴纳税收和社会保障资金；</w:t>
      </w:r>
    </w:p>
    <w:p>
      <w:pPr>
        <w:widowControl/>
        <w:numPr>
          <w:ilvl w:val="0"/>
          <w:numId w:val="5"/>
        </w:numPr>
        <w:shd w:val="clear" w:color="auto" w:fill="FFFFFF"/>
        <w:jc w:val="left"/>
        <w:rPr>
          <w:rFonts w:hint="eastAsia" w:ascii="宋体" w:hAnsi="宋体"/>
          <w:kern w:val="0"/>
          <w:sz w:val="24"/>
        </w:rPr>
      </w:pPr>
      <w:r>
        <w:rPr>
          <w:rFonts w:hint="eastAsia" w:ascii="宋体" w:hAnsi="宋体"/>
          <w:kern w:val="0"/>
          <w:sz w:val="24"/>
        </w:rPr>
        <w:t>符合法律、行政法规规定的其他条件；</w:t>
      </w:r>
    </w:p>
    <w:p>
      <w:pPr>
        <w:widowControl/>
        <w:numPr>
          <w:ilvl w:val="0"/>
          <w:numId w:val="5"/>
        </w:numPr>
        <w:shd w:val="clear" w:color="auto" w:fill="FFFFFF"/>
        <w:jc w:val="left"/>
        <w:rPr>
          <w:rFonts w:ascii="宋体" w:hAnsi="宋体"/>
          <w:kern w:val="0"/>
          <w:sz w:val="24"/>
        </w:rPr>
      </w:pPr>
      <w:r>
        <w:rPr>
          <w:rFonts w:hint="eastAsia" w:ascii="宋体" w:hAnsi="宋体"/>
          <w:kern w:val="0"/>
          <w:sz w:val="24"/>
        </w:rPr>
        <w:t>须为独立法人，不接受联合体投标；</w:t>
      </w:r>
    </w:p>
    <w:p>
      <w:pPr>
        <w:widowControl/>
        <w:shd w:val="clear" w:color="auto" w:fill="FFFFFF"/>
        <w:ind w:firstLine="482"/>
        <w:jc w:val="left"/>
        <w:rPr>
          <w:rFonts w:hint="default" w:ascii="宋体" w:hAnsi="宋体" w:eastAsia="宋体"/>
          <w:kern w:val="0"/>
          <w:sz w:val="24"/>
          <w:lang w:val="en-US" w:eastAsia="zh-CN"/>
        </w:rPr>
      </w:pPr>
      <w:r>
        <w:rPr>
          <w:rFonts w:hint="eastAsia" w:ascii="宋体" w:hAnsi="宋体"/>
          <w:kern w:val="0"/>
          <w:sz w:val="24"/>
          <w:lang w:val="en-US" w:eastAsia="zh-CN"/>
        </w:rPr>
        <w:t>7）</w:t>
      </w:r>
      <w:r>
        <w:rPr>
          <w:rFonts w:hint="eastAsia" w:ascii="宋体" w:hAnsi="宋体"/>
          <w:kern w:val="0"/>
          <w:sz w:val="24"/>
        </w:rPr>
        <w:t>最高限价：</w:t>
      </w:r>
      <w:r>
        <w:rPr>
          <w:rFonts w:hint="eastAsia" w:ascii="宋体" w:hAnsi="宋体"/>
          <w:kern w:val="0"/>
          <w:sz w:val="24"/>
          <w:lang w:val="en-US" w:eastAsia="zh-CN"/>
        </w:rPr>
        <w:t>50</w:t>
      </w:r>
      <w:r>
        <w:rPr>
          <w:rFonts w:hint="eastAsia" w:ascii="宋体" w:hAnsi="宋体"/>
          <w:kern w:val="0"/>
          <w:sz w:val="24"/>
        </w:rPr>
        <w:t>万元</w:t>
      </w:r>
      <w:r>
        <w:rPr>
          <w:rFonts w:hint="eastAsia" w:ascii="宋体" w:hAnsi="宋体"/>
          <w:kern w:val="0"/>
          <w:sz w:val="24"/>
          <w:lang w:val="en-US" w:eastAsia="zh-CN"/>
        </w:rPr>
        <w:t>/2年</w:t>
      </w:r>
    </w:p>
    <w:p>
      <w:pPr>
        <w:widowControl/>
        <w:shd w:val="clear" w:color="auto" w:fill="FFFFFF"/>
        <w:ind w:firstLine="482"/>
        <w:jc w:val="left"/>
        <w:rPr>
          <w:rFonts w:hint="eastAsia" w:ascii="宋体" w:hAnsi="宋体"/>
          <w:kern w:val="0"/>
          <w:sz w:val="24"/>
        </w:rPr>
      </w:pPr>
      <w:r>
        <w:rPr>
          <w:rFonts w:hint="eastAsia" w:ascii="宋体" w:hAnsi="宋体"/>
          <w:kern w:val="0"/>
          <w:sz w:val="24"/>
          <w:lang w:val="en-US" w:eastAsia="zh-CN"/>
        </w:rPr>
        <w:t>8）</w:t>
      </w:r>
      <w:r>
        <w:rPr>
          <w:rFonts w:hint="eastAsia" w:ascii="宋体" w:hAnsi="宋体"/>
          <w:kern w:val="0"/>
          <w:sz w:val="24"/>
        </w:rPr>
        <w:t>服务期限：</w:t>
      </w:r>
      <w:r>
        <w:rPr>
          <w:rFonts w:hint="eastAsia" w:ascii="宋体" w:hAnsi="宋体"/>
          <w:kern w:val="0"/>
          <w:sz w:val="24"/>
          <w:lang w:val="en-US" w:eastAsia="zh-CN"/>
        </w:rPr>
        <w:t>2</w:t>
      </w:r>
      <w:r>
        <w:rPr>
          <w:rFonts w:hint="eastAsia" w:ascii="宋体" w:hAnsi="宋体"/>
          <w:kern w:val="0"/>
          <w:sz w:val="24"/>
        </w:rPr>
        <w:t>年；具体起止时间</w:t>
      </w:r>
      <w:r>
        <w:rPr>
          <w:rFonts w:hint="eastAsia" w:ascii="宋体" w:hAnsi="宋体"/>
          <w:kern w:val="0"/>
          <w:sz w:val="24"/>
          <w:lang w:eastAsia="zh-CN"/>
        </w:rPr>
        <w:t>详见</w:t>
      </w:r>
      <w:r>
        <w:rPr>
          <w:rFonts w:hint="eastAsia" w:ascii="宋体" w:hAnsi="宋体"/>
          <w:kern w:val="0"/>
          <w:sz w:val="24"/>
        </w:rPr>
        <w:t>合同约定。</w:t>
      </w:r>
    </w:p>
    <w:p>
      <w:pPr>
        <w:pStyle w:val="7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jc w:val="left"/>
        <w:rPr>
          <w:rFonts w:hint="eastAsia" w:ascii="宋体" w:hAnsi="宋体"/>
          <w:kern w:val="0"/>
          <w:sz w:val="24"/>
        </w:rPr>
      </w:pPr>
      <w:r>
        <w:rPr>
          <w:rFonts w:hint="eastAsia" w:ascii="宋体" w:hAnsi="宋体"/>
          <w:kern w:val="0"/>
          <w:sz w:val="24"/>
        </w:rPr>
        <w:t>投标文件即为投标人的响应文件，下同。</w:t>
      </w:r>
    </w:p>
    <w:p>
      <w:pPr>
        <w:pStyle w:val="55"/>
        <w:numPr>
          <w:ilvl w:val="0"/>
          <w:numId w:val="0"/>
        </w:numPr>
        <w:ind w:firstLine="472" w:firstLineChars="196"/>
        <w:jc w:val="left"/>
        <w:rPr>
          <w:rFonts w:hint="eastAsia"/>
          <w:b/>
          <w:sz w:val="24"/>
          <w:szCs w:val="24"/>
        </w:rPr>
      </w:pPr>
      <w:r>
        <w:rPr>
          <w:rFonts w:hint="eastAsia"/>
          <w:b/>
          <w:sz w:val="24"/>
          <w:szCs w:val="24"/>
        </w:rPr>
        <w:t>1. 投标文件的语言和计量单位</w:t>
      </w:r>
    </w:p>
    <w:p>
      <w:pPr>
        <w:pStyle w:val="55"/>
        <w:numPr>
          <w:ilvl w:val="0"/>
          <w:numId w:val="0"/>
        </w:numPr>
        <w:ind w:firstLine="480" w:firstLineChars="200"/>
        <w:jc w:val="left"/>
        <w:rPr>
          <w:rFonts w:hint="eastAsia"/>
          <w:sz w:val="24"/>
          <w:szCs w:val="24"/>
        </w:rPr>
      </w:pPr>
      <w:r>
        <w:rPr>
          <w:rFonts w:hint="eastAsia"/>
          <w:sz w:val="24"/>
          <w:szCs w:val="24"/>
        </w:rPr>
        <w:t>1.1投标人所提供的投标文件包含技术文件、有关资料、说明等，均应使用中文简化字。</w:t>
      </w:r>
    </w:p>
    <w:p>
      <w:pPr>
        <w:pStyle w:val="55"/>
        <w:numPr>
          <w:ilvl w:val="0"/>
          <w:numId w:val="0"/>
        </w:numPr>
        <w:ind w:firstLine="480" w:firstLineChars="200"/>
        <w:jc w:val="left"/>
        <w:rPr>
          <w:rFonts w:hint="eastAsia"/>
          <w:sz w:val="24"/>
          <w:szCs w:val="24"/>
        </w:rPr>
      </w:pPr>
      <w:r>
        <w:rPr>
          <w:rFonts w:hint="eastAsia"/>
          <w:sz w:val="24"/>
          <w:szCs w:val="24"/>
        </w:rPr>
        <w:t>1.2投标文件所使用的计量单位，均采用中华人民共和国法定计量单位。</w:t>
      </w:r>
    </w:p>
    <w:p>
      <w:pPr>
        <w:pStyle w:val="55"/>
        <w:numPr>
          <w:ilvl w:val="0"/>
          <w:numId w:val="0"/>
        </w:numPr>
        <w:ind w:firstLine="472" w:firstLineChars="196"/>
        <w:jc w:val="left"/>
        <w:rPr>
          <w:rFonts w:hint="eastAsia"/>
          <w:b/>
          <w:sz w:val="24"/>
          <w:szCs w:val="24"/>
        </w:rPr>
      </w:pPr>
      <w:r>
        <w:rPr>
          <w:rFonts w:hint="eastAsia"/>
          <w:b/>
          <w:sz w:val="24"/>
          <w:szCs w:val="24"/>
        </w:rPr>
        <w:t>2投标文件的组成及相关要求</w:t>
      </w:r>
    </w:p>
    <w:p>
      <w:pPr>
        <w:pStyle w:val="55"/>
        <w:numPr>
          <w:ilvl w:val="0"/>
          <w:numId w:val="0"/>
        </w:numPr>
        <w:ind w:firstLine="480" w:firstLineChars="200"/>
        <w:jc w:val="left"/>
        <w:rPr>
          <w:rFonts w:hint="eastAsia"/>
          <w:sz w:val="24"/>
          <w:szCs w:val="24"/>
        </w:rPr>
      </w:pPr>
      <w:r>
        <w:rPr>
          <w:rFonts w:hint="eastAsia"/>
          <w:sz w:val="24"/>
          <w:szCs w:val="24"/>
        </w:rPr>
        <w:t>为了方便评审，投标文件中的各项表格必须按照磋商文件要求制作。</w:t>
      </w:r>
    </w:p>
    <w:p>
      <w:pPr>
        <w:pStyle w:val="55"/>
        <w:numPr>
          <w:ilvl w:val="0"/>
          <w:numId w:val="0"/>
        </w:numPr>
        <w:ind w:firstLine="472" w:firstLineChars="196"/>
        <w:jc w:val="left"/>
        <w:rPr>
          <w:rFonts w:hint="eastAsia"/>
          <w:b/>
          <w:sz w:val="24"/>
          <w:szCs w:val="24"/>
        </w:rPr>
      </w:pPr>
      <w:r>
        <w:rPr>
          <w:rFonts w:hint="eastAsia"/>
          <w:b/>
          <w:sz w:val="24"/>
          <w:szCs w:val="24"/>
        </w:rPr>
        <w:t>3.投标内容填写说明</w:t>
      </w:r>
    </w:p>
    <w:p>
      <w:pPr>
        <w:pStyle w:val="55"/>
        <w:numPr>
          <w:ilvl w:val="0"/>
          <w:numId w:val="0"/>
        </w:numPr>
        <w:ind w:firstLine="480" w:firstLineChars="200"/>
        <w:jc w:val="left"/>
        <w:rPr>
          <w:rFonts w:hint="eastAsia"/>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55"/>
        <w:numPr>
          <w:ilvl w:val="0"/>
          <w:numId w:val="0"/>
        </w:numPr>
        <w:ind w:firstLine="480" w:firstLineChars="200"/>
        <w:jc w:val="left"/>
        <w:rPr>
          <w:rFonts w:hint="eastAsia"/>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55"/>
        <w:numPr>
          <w:ilvl w:val="0"/>
          <w:numId w:val="0"/>
        </w:numPr>
        <w:ind w:firstLine="480" w:firstLineChars="200"/>
        <w:jc w:val="left"/>
        <w:rPr>
          <w:rFonts w:hint="eastAsia"/>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jc w:val="left"/>
        <w:rPr>
          <w:rFonts w:hint="eastAsia" w:ascii="宋体" w:hAnsi="宋体"/>
          <w:sz w:val="24"/>
        </w:rPr>
      </w:pPr>
      <w:r>
        <w:rPr>
          <w:rFonts w:hint="eastAsia" w:ascii="宋体" w:hAnsi="宋体"/>
          <w:sz w:val="24"/>
        </w:rPr>
        <w:t>3.4报价一览表要求按格式统一填写，不得自行增减内容。</w:t>
      </w:r>
    </w:p>
    <w:p>
      <w:pPr>
        <w:pStyle w:val="55"/>
        <w:numPr>
          <w:ilvl w:val="0"/>
          <w:numId w:val="0"/>
        </w:numPr>
        <w:ind w:firstLine="482" w:firstLineChars="200"/>
        <w:jc w:val="left"/>
        <w:rPr>
          <w:b/>
          <w:sz w:val="24"/>
          <w:szCs w:val="24"/>
        </w:rPr>
      </w:pPr>
      <w:r>
        <w:rPr>
          <w:rFonts w:hint="eastAsia"/>
          <w:b/>
          <w:sz w:val="24"/>
          <w:szCs w:val="24"/>
        </w:rPr>
        <w:t>报价须包含投标人服务成本、利润、税金和承担的风险等可能发生的一切费用。</w:t>
      </w:r>
    </w:p>
    <w:p>
      <w:pPr>
        <w:pStyle w:val="55"/>
        <w:numPr>
          <w:ilvl w:val="0"/>
          <w:numId w:val="0"/>
        </w:numPr>
        <w:ind w:firstLine="480" w:firstLineChars="200"/>
        <w:jc w:val="left"/>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55"/>
        <w:numPr>
          <w:ilvl w:val="0"/>
          <w:numId w:val="0"/>
        </w:numPr>
        <w:ind w:firstLine="480" w:firstLineChars="200"/>
        <w:jc w:val="left"/>
        <w:rPr>
          <w:rFonts w:hint="eastAsia"/>
          <w:sz w:val="24"/>
          <w:szCs w:val="24"/>
        </w:rPr>
      </w:pPr>
      <w:r>
        <w:rPr>
          <w:rFonts w:hint="eastAsia"/>
          <w:sz w:val="24"/>
          <w:szCs w:val="24"/>
        </w:rPr>
        <w:t>3.6</w:t>
      </w:r>
      <w:r>
        <w:rPr>
          <w:rFonts w:hint="eastAsia"/>
          <w:b/>
          <w:sz w:val="24"/>
          <w:szCs w:val="24"/>
        </w:rPr>
        <w:t>本项目有二次报价环节，二次报价为最终报价</w:t>
      </w:r>
      <w:r>
        <w:rPr>
          <w:rFonts w:hint="eastAsia"/>
          <w:sz w:val="24"/>
          <w:szCs w:val="24"/>
        </w:rPr>
        <w:t>。</w:t>
      </w:r>
    </w:p>
    <w:p>
      <w:pPr>
        <w:pStyle w:val="55"/>
        <w:numPr>
          <w:ilvl w:val="0"/>
          <w:numId w:val="0"/>
        </w:numPr>
        <w:ind w:firstLine="472" w:firstLineChars="196"/>
        <w:jc w:val="left"/>
        <w:rPr>
          <w:rFonts w:hint="eastAsia"/>
          <w:b/>
          <w:sz w:val="24"/>
          <w:szCs w:val="24"/>
        </w:rPr>
      </w:pPr>
      <w:r>
        <w:rPr>
          <w:rFonts w:hint="eastAsia"/>
          <w:b/>
          <w:sz w:val="24"/>
          <w:szCs w:val="24"/>
        </w:rPr>
        <w:t>4.投标文件的编制</w:t>
      </w:r>
    </w:p>
    <w:p>
      <w:pPr>
        <w:pStyle w:val="55"/>
        <w:numPr>
          <w:ilvl w:val="0"/>
          <w:numId w:val="0"/>
        </w:numPr>
        <w:ind w:firstLine="482" w:firstLineChars="200"/>
        <w:jc w:val="left"/>
        <w:rPr>
          <w:rFonts w:hint="eastAsia"/>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55"/>
        <w:numPr>
          <w:ilvl w:val="0"/>
          <w:numId w:val="6"/>
        </w:numPr>
        <w:jc w:val="left"/>
        <w:rPr>
          <w:kern w:val="2"/>
          <w:sz w:val="24"/>
          <w:szCs w:val="24"/>
        </w:rPr>
      </w:pPr>
      <w:r>
        <w:rPr>
          <w:rFonts w:hint="eastAsia"/>
          <w:kern w:val="2"/>
          <w:sz w:val="24"/>
          <w:szCs w:val="24"/>
        </w:rPr>
        <w:t>资格审查符合性审查材料索引表</w:t>
      </w:r>
    </w:p>
    <w:p>
      <w:pPr>
        <w:pStyle w:val="55"/>
        <w:numPr>
          <w:ilvl w:val="0"/>
          <w:numId w:val="6"/>
        </w:numPr>
        <w:jc w:val="left"/>
        <w:rPr>
          <w:kern w:val="2"/>
          <w:sz w:val="24"/>
          <w:szCs w:val="24"/>
        </w:rPr>
      </w:pPr>
      <w:r>
        <w:rPr>
          <w:rFonts w:hint="eastAsia"/>
          <w:kern w:val="2"/>
          <w:sz w:val="24"/>
          <w:szCs w:val="24"/>
        </w:rPr>
        <w:t>投标函；</w:t>
      </w:r>
    </w:p>
    <w:p>
      <w:pPr>
        <w:pStyle w:val="55"/>
        <w:numPr>
          <w:ilvl w:val="0"/>
          <w:numId w:val="6"/>
        </w:numPr>
        <w:jc w:val="left"/>
        <w:rPr>
          <w:rFonts w:hint="eastAsia"/>
          <w:kern w:val="2"/>
          <w:sz w:val="24"/>
          <w:szCs w:val="24"/>
        </w:rPr>
      </w:pPr>
      <w:r>
        <w:rPr>
          <w:rFonts w:hint="eastAsia"/>
          <w:kern w:val="2"/>
          <w:sz w:val="24"/>
          <w:szCs w:val="24"/>
        </w:rPr>
        <w:t>投标报价一览表；</w:t>
      </w:r>
    </w:p>
    <w:p>
      <w:pPr>
        <w:pStyle w:val="55"/>
        <w:numPr>
          <w:ilvl w:val="0"/>
          <w:numId w:val="6"/>
        </w:numPr>
        <w:jc w:val="left"/>
        <w:rPr>
          <w:kern w:val="2"/>
          <w:sz w:val="24"/>
          <w:szCs w:val="24"/>
        </w:rPr>
      </w:pPr>
      <w:r>
        <w:rPr>
          <w:rFonts w:hint="eastAsia"/>
          <w:kern w:val="2"/>
          <w:sz w:val="24"/>
          <w:szCs w:val="24"/>
        </w:rPr>
        <w:t>法定代表人的授权委托书（原件封于投标文件正本中）；</w:t>
      </w:r>
    </w:p>
    <w:p>
      <w:pPr>
        <w:pStyle w:val="55"/>
        <w:numPr>
          <w:ilvl w:val="0"/>
          <w:numId w:val="6"/>
        </w:numPr>
        <w:jc w:val="left"/>
        <w:rPr>
          <w:sz w:val="24"/>
          <w:szCs w:val="24"/>
        </w:rPr>
      </w:pPr>
      <w:r>
        <w:rPr>
          <w:rFonts w:hint="eastAsia"/>
          <w:sz w:val="24"/>
          <w:szCs w:val="24"/>
        </w:rPr>
        <w:t>承诺书（原件封于投标文件正本中）；</w:t>
      </w:r>
      <w:r>
        <w:rPr>
          <w:sz w:val="24"/>
          <w:szCs w:val="24"/>
        </w:rPr>
        <w:t xml:space="preserve"> </w:t>
      </w:r>
    </w:p>
    <w:p>
      <w:pPr>
        <w:pStyle w:val="55"/>
        <w:numPr>
          <w:ilvl w:val="0"/>
          <w:numId w:val="6"/>
        </w:numPr>
        <w:jc w:val="left"/>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55"/>
        <w:numPr>
          <w:ilvl w:val="0"/>
          <w:numId w:val="6"/>
        </w:numPr>
        <w:jc w:val="left"/>
        <w:rPr>
          <w:rFonts w:hint="eastAsia"/>
          <w:kern w:val="2"/>
          <w:sz w:val="24"/>
          <w:szCs w:val="24"/>
        </w:rPr>
      </w:pPr>
      <w:r>
        <w:rPr>
          <w:rFonts w:hint="eastAsia"/>
          <w:kern w:val="2"/>
          <w:sz w:val="24"/>
          <w:szCs w:val="24"/>
        </w:rPr>
        <w:t>投标单位情况介绍（简要说明）；</w:t>
      </w:r>
    </w:p>
    <w:p>
      <w:pPr>
        <w:pStyle w:val="55"/>
        <w:numPr>
          <w:ilvl w:val="0"/>
          <w:numId w:val="6"/>
        </w:numPr>
        <w:jc w:val="left"/>
        <w:rPr>
          <w:kern w:val="2"/>
          <w:sz w:val="24"/>
          <w:szCs w:val="24"/>
        </w:rPr>
      </w:pPr>
      <w:r>
        <w:rPr>
          <w:rFonts w:hint="eastAsia"/>
          <w:kern w:val="2"/>
          <w:sz w:val="24"/>
          <w:szCs w:val="24"/>
        </w:rPr>
        <w:t>企业营业执照复印件；</w:t>
      </w:r>
    </w:p>
    <w:p>
      <w:pPr>
        <w:numPr>
          <w:ilvl w:val="0"/>
          <w:numId w:val="6"/>
        </w:numPr>
        <w:jc w:val="left"/>
        <w:rPr>
          <w:rFonts w:ascii="宋体" w:hAnsi="宋体"/>
          <w:sz w:val="24"/>
        </w:rPr>
      </w:pPr>
      <w:r>
        <w:rPr>
          <w:rFonts w:hint="eastAsia" w:ascii="宋体" w:hAnsi="宋体"/>
          <w:sz w:val="24"/>
        </w:rPr>
        <w:t>投标人财务状况良好，至少提供：</w:t>
      </w:r>
    </w:p>
    <w:p>
      <w:pPr>
        <w:ind w:firstLine="480" w:firstLineChars="200"/>
        <w:jc w:val="left"/>
        <w:rPr>
          <w:rFonts w:hint="eastAsia" w:ascii="宋体" w:hAnsi="宋体"/>
          <w:sz w:val="24"/>
        </w:rPr>
      </w:pPr>
      <w:r>
        <w:rPr>
          <w:rFonts w:hint="eastAsia" w:ascii="宋体" w:hAnsi="宋体"/>
          <w:sz w:val="24"/>
        </w:rPr>
        <w:t>（1）投标人提交首次响应文件时间前6个月内任何1日的资产负债表复印件1份；</w:t>
      </w:r>
    </w:p>
    <w:p>
      <w:pPr>
        <w:ind w:firstLine="480" w:firstLineChars="200"/>
        <w:jc w:val="left"/>
        <w:rPr>
          <w:rFonts w:ascii="宋体" w:hAnsi="宋体"/>
          <w:sz w:val="24"/>
        </w:rPr>
      </w:pPr>
      <w:r>
        <w:rPr>
          <w:rFonts w:hint="eastAsia" w:ascii="宋体" w:hAnsi="宋体"/>
          <w:sz w:val="24"/>
        </w:rPr>
        <w:t>（2）投标人提交首次响应文件时间前6个月内任何1月（不含本公告发布当月）利润表月报表复印件1份。</w:t>
      </w:r>
    </w:p>
    <w:p>
      <w:pPr>
        <w:keepNext w:val="0"/>
        <w:keepLines w:val="0"/>
        <w:pageBreakBefore w:val="0"/>
        <w:widowControl w:val="0"/>
        <w:kinsoku/>
        <w:wordWrap/>
        <w:overflowPunct/>
        <w:topLinePunct w:val="0"/>
        <w:autoSpaceDE/>
        <w:autoSpaceDN/>
        <w:bidi w:val="0"/>
        <w:adjustRightInd/>
        <w:snapToGrid/>
        <w:ind w:leftChars="0" w:firstLine="480" w:firstLineChars="200"/>
        <w:jc w:val="left"/>
        <w:textAlignment w:val="auto"/>
        <w:rPr>
          <w:rFonts w:hint="eastAsia" w:ascii="宋体" w:hAnsi="宋体"/>
          <w:sz w:val="24"/>
        </w:rPr>
      </w:pPr>
      <w:r>
        <w:rPr>
          <w:rFonts w:hint="eastAsia" w:ascii="宋体" w:hAnsi="宋体"/>
          <w:color w:val="000000"/>
          <w:sz w:val="24"/>
        </w:rPr>
        <w:t>本条中（1）、（2）要求的材料无法提供时，可提供有审计资格的第三方出具的投标人2</w:t>
      </w:r>
      <w:r>
        <w:rPr>
          <w:rFonts w:ascii="宋体" w:hAnsi="宋体"/>
          <w:color w:val="000000"/>
          <w:sz w:val="24"/>
        </w:rPr>
        <w:t>0</w:t>
      </w:r>
      <w:r>
        <w:rPr>
          <w:rFonts w:hint="eastAsia" w:ascii="宋体" w:hAnsi="宋体"/>
          <w:color w:val="000000"/>
          <w:sz w:val="24"/>
          <w:lang w:val="en-US" w:eastAsia="zh-CN"/>
        </w:rPr>
        <w:t>20</w:t>
      </w:r>
      <w:r>
        <w:rPr>
          <w:rFonts w:hint="eastAsia" w:ascii="宋体" w:hAnsi="宋体"/>
          <w:color w:val="000000"/>
          <w:sz w:val="24"/>
        </w:rPr>
        <w:t>年财务审计报告复印件。</w:t>
      </w:r>
    </w:p>
    <w:p>
      <w:pPr>
        <w:pStyle w:val="55"/>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left"/>
        <w:textAlignment w:val="auto"/>
        <w:rPr>
          <w:rFonts w:hint="eastAsia"/>
          <w:kern w:val="2"/>
          <w:sz w:val="24"/>
          <w:szCs w:val="24"/>
        </w:rPr>
      </w:pPr>
      <w:r>
        <w:rPr>
          <w:rFonts w:hint="eastAsia"/>
          <w:sz w:val="24"/>
          <w:szCs w:val="24"/>
          <w:lang w:val="en-US" w:eastAsia="zh-CN"/>
        </w:rPr>
        <w:t>4.10</w:t>
      </w:r>
      <w:r>
        <w:rPr>
          <w:rFonts w:hint="eastAsia"/>
          <w:sz w:val="24"/>
          <w:szCs w:val="24"/>
        </w:rPr>
        <w:t>未被“信用中国”网站（www.creditchina.gov.cn）列入失信执行人、重大税收违法案件当事人名单、政府采购严重违法失信行为记录名单，否则投标无效。</w:t>
      </w:r>
      <w:r>
        <w:rPr>
          <w:rFonts w:hint="eastAsia"/>
          <w:b/>
          <w:sz w:val="24"/>
          <w:szCs w:val="24"/>
        </w:rPr>
        <w:t>（须提供信用查询截图）</w:t>
      </w:r>
    </w:p>
    <w:p>
      <w:pPr>
        <w:pStyle w:val="55"/>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left"/>
        <w:textAlignment w:val="auto"/>
        <w:rPr>
          <w:kern w:val="2"/>
          <w:sz w:val="24"/>
          <w:szCs w:val="24"/>
        </w:rPr>
      </w:pPr>
      <w:r>
        <w:rPr>
          <w:rFonts w:hint="eastAsia"/>
          <w:kern w:val="2"/>
          <w:sz w:val="24"/>
          <w:szCs w:val="24"/>
          <w:lang w:val="en-US" w:eastAsia="zh-CN"/>
        </w:rPr>
        <w:t>4.11</w:t>
      </w:r>
      <w:r>
        <w:rPr>
          <w:rFonts w:hint="eastAsia"/>
          <w:kern w:val="2"/>
          <w:sz w:val="24"/>
          <w:szCs w:val="24"/>
        </w:rPr>
        <w:t>投标人资格条件中对企业、项目负责人资质（资格）有要求时须提供相关证书复印件，否则无须提供；</w:t>
      </w:r>
    </w:p>
    <w:p>
      <w:pPr>
        <w:pStyle w:val="55"/>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left"/>
        <w:textAlignment w:val="auto"/>
        <w:rPr>
          <w:sz w:val="24"/>
          <w:szCs w:val="24"/>
        </w:rPr>
      </w:pPr>
      <w:r>
        <w:rPr>
          <w:rFonts w:hint="eastAsia"/>
          <w:kern w:val="2"/>
          <w:sz w:val="24"/>
          <w:szCs w:val="24"/>
          <w:lang w:val="en-US" w:eastAsia="zh-CN"/>
        </w:rPr>
        <w:t>4.12</w:t>
      </w:r>
      <w:r>
        <w:rPr>
          <w:rFonts w:hint="eastAsia"/>
          <w:kern w:val="2"/>
          <w:sz w:val="24"/>
          <w:szCs w:val="24"/>
        </w:rPr>
        <w:t>投标</w:t>
      </w:r>
      <w:r>
        <w:rPr>
          <w:rFonts w:hint="eastAsia"/>
          <w:sz w:val="24"/>
          <w:szCs w:val="24"/>
        </w:rPr>
        <w:t>单位为投标代表缴纳社保证明（提交首次响应文件时间前6个月内任何1月的依法缴纳社保的相关材料复印件）；</w:t>
      </w:r>
    </w:p>
    <w:p>
      <w:pPr>
        <w:pStyle w:val="55"/>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left"/>
        <w:textAlignment w:val="auto"/>
        <w:rPr>
          <w:kern w:val="2"/>
          <w:sz w:val="24"/>
          <w:szCs w:val="24"/>
        </w:rPr>
      </w:pPr>
      <w:r>
        <w:rPr>
          <w:rFonts w:hint="eastAsia"/>
          <w:kern w:val="2"/>
          <w:sz w:val="24"/>
          <w:szCs w:val="24"/>
          <w:lang w:val="en-US" w:eastAsia="zh-CN"/>
        </w:rPr>
        <w:t>4.13</w:t>
      </w:r>
      <w:r>
        <w:rPr>
          <w:rFonts w:hint="eastAsia"/>
          <w:kern w:val="2"/>
          <w:sz w:val="24"/>
          <w:szCs w:val="24"/>
        </w:rPr>
        <w:t>商务和技术偏离表；</w:t>
      </w:r>
    </w:p>
    <w:p>
      <w:pPr>
        <w:pStyle w:val="55"/>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left"/>
        <w:textAlignment w:val="auto"/>
        <w:rPr>
          <w:kern w:val="2"/>
          <w:sz w:val="24"/>
          <w:szCs w:val="24"/>
        </w:rPr>
      </w:pPr>
      <w:r>
        <w:rPr>
          <w:rFonts w:hint="eastAsia"/>
          <w:kern w:val="2"/>
          <w:sz w:val="24"/>
          <w:szCs w:val="24"/>
          <w:lang w:val="en-US" w:eastAsia="zh-CN"/>
        </w:rPr>
        <w:t>4.14</w:t>
      </w:r>
      <w:r>
        <w:rPr>
          <w:rFonts w:hint="eastAsia"/>
          <w:kern w:val="2"/>
          <w:sz w:val="24"/>
          <w:szCs w:val="24"/>
        </w:rPr>
        <w:t>服务方案；</w:t>
      </w:r>
    </w:p>
    <w:p>
      <w:pPr>
        <w:pStyle w:val="55"/>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left"/>
        <w:textAlignment w:val="auto"/>
        <w:rPr>
          <w:kern w:val="2"/>
          <w:sz w:val="24"/>
          <w:szCs w:val="24"/>
        </w:rPr>
      </w:pPr>
      <w:r>
        <w:rPr>
          <w:rFonts w:hint="eastAsia"/>
          <w:kern w:val="2"/>
          <w:sz w:val="24"/>
          <w:szCs w:val="24"/>
          <w:lang w:val="en-US" w:eastAsia="zh-CN"/>
        </w:rPr>
        <w:t>4.15</w:t>
      </w:r>
      <w:r>
        <w:rPr>
          <w:rFonts w:hint="eastAsia"/>
          <w:kern w:val="2"/>
          <w:sz w:val="24"/>
          <w:szCs w:val="24"/>
        </w:rPr>
        <w:t>投标人业绩一览表及业绩复印件（</w:t>
      </w:r>
      <w:r>
        <w:rPr>
          <w:rFonts w:hint="eastAsia"/>
          <w:b/>
          <w:kern w:val="2"/>
          <w:sz w:val="24"/>
          <w:szCs w:val="24"/>
        </w:rPr>
        <w:t>业绩原件备查</w:t>
      </w:r>
      <w:r>
        <w:rPr>
          <w:rFonts w:hint="eastAsia"/>
          <w:kern w:val="2"/>
          <w:sz w:val="24"/>
          <w:szCs w:val="24"/>
        </w:rPr>
        <w:t>）；</w:t>
      </w:r>
    </w:p>
    <w:p>
      <w:pPr>
        <w:pStyle w:val="55"/>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left"/>
        <w:textAlignment w:val="auto"/>
        <w:rPr>
          <w:rFonts w:hint="eastAsia"/>
          <w:kern w:val="2"/>
          <w:sz w:val="24"/>
          <w:szCs w:val="24"/>
        </w:rPr>
      </w:pPr>
      <w:r>
        <w:rPr>
          <w:rFonts w:hint="eastAsia"/>
          <w:kern w:val="2"/>
          <w:sz w:val="24"/>
          <w:szCs w:val="24"/>
          <w:lang w:val="en-US" w:eastAsia="zh-CN"/>
        </w:rPr>
        <w:t>4.16</w:t>
      </w:r>
      <w:r>
        <w:rPr>
          <w:rFonts w:hint="eastAsia"/>
          <w:kern w:val="2"/>
          <w:sz w:val="24"/>
          <w:szCs w:val="24"/>
        </w:rPr>
        <w:t>磋商文件中要求提交的和投标人认为需要提供的其它说明和资料。</w:t>
      </w:r>
    </w:p>
    <w:p>
      <w:pPr>
        <w:pStyle w:val="55"/>
        <w:numPr>
          <w:ilvl w:val="0"/>
          <w:numId w:val="0"/>
        </w:numPr>
        <w:ind w:firstLine="472" w:firstLineChars="196"/>
        <w:jc w:val="left"/>
        <w:rPr>
          <w:rFonts w:hint="eastAsia"/>
          <w:b/>
          <w:sz w:val="24"/>
          <w:szCs w:val="24"/>
        </w:rPr>
      </w:pPr>
      <w:r>
        <w:rPr>
          <w:rFonts w:hint="eastAsia"/>
          <w:b/>
          <w:sz w:val="24"/>
          <w:szCs w:val="24"/>
        </w:rPr>
        <w:t>5.投标要求</w:t>
      </w:r>
    </w:p>
    <w:p>
      <w:pPr>
        <w:pStyle w:val="55"/>
        <w:numPr>
          <w:ilvl w:val="0"/>
          <w:numId w:val="0"/>
        </w:numPr>
        <w:ind w:firstLine="480" w:firstLineChars="200"/>
        <w:jc w:val="left"/>
        <w:rPr>
          <w:rFonts w:hint="eastAsia"/>
          <w:kern w:val="2"/>
          <w:sz w:val="24"/>
          <w:szCs w:val="24"/>
        </w:rPr>
      </w:pPr>
      <w:r>
        <w:rPr>
          <w:rFonts w:hint="eastAsia"/>
          <w:kern w:val="2"/>
          <w:sz w:val="24"/>
          <w:szCs w:val="24"/>
        </w:rPr>
        <w:t>5.1 所有投标均以人民币“元”为计算单位。</w:t>
      </w:r>
    </w:p>
    <w:p>
      <w:pPr>
        <w:pStyle w:val="55"/>
        <w:numPr>
          <w:ilvl w:val="0"/>
          <w:numId w:val="0"/>
        </w:numPr>
        <w:ind w:firstLine="480" w:firstLineChars="200"/>
        <w:jc w:val="left"/>
        <w:rPr>
          <w:rFonts w:hint="eastAsia"/>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55"/>
        <w:numPr>
          <w:ilvl w:val="0"/>
          <w:numId w:val="0"/>
        </w:numPr>
        <w:ind w:firstLine="480" w:firstLineChars="200"/>
        <w:jc w:val="left"/>
        <w:rPr>
          <w:kern w:val="2"/>
          <w:sz w:val="24"/>
          <w:szCs w:val="24"/>
        </w:rPr>
      </w:pPr>
      <w:r>
        <w:rPr>
          <w:rFonts w:hint="eastAsia"/>
          <w:kern w:val="2"/>
          <w:sz w:val="24"/>
          <w:szCs w:val="24"/>
        </w:rPr>
        <w:t>5.3采购人不接受不明确的投标方案和投标。</w:t>
      </w:r>
    </w:p>
    <w:p>
      <w:pPr>
        <w:pStyle w:val="55"/>
        <w:numPr>
          <w:ilvl w:val="0"/>
          <w:numId w:val="0"/>
        </w:numPr>
        <w:ind w:firstLine="480" w:firstLineChars="200"/>
        <w:jc w:val="left"/>
        <w:rPr>
          <w:rFonts w:hint="eastAsia"/>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55"/>
        <w:numPr>
          <w:ilvl w:val="0"/>
          <w:numId w:val="0"/>
        </w:numPr>
        <w:ind w:firstLine="480" w:firstLineChars="200"/>
        <w:jc w:val="left"/>
        <w:rPr>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55"/>
        <w:numPr>
          <w:ilvl w:val="0"/>
          <w:numId w:val="0"/>
        </w:numPr>
        <w:ind w:firstLine="354" w:firstLineChars="147"/>
        <w:jc w:val="left"/>
        <w:rPr>
          <w:rFonts w:hint="eastAsia"/>
          <w:b/>
          <w:sz w:val="24"/>
          <w:szCs w:val="24"/>
        </w:rPr>
      </w:pPr>
      <w:r>
        <w:rPr>
          <w:rFonts w:hint="eastAsia"/>
          <w:b/>
          <w:sz w:val="24"/>
          <w:szCs w:val="24"/>
        </w:rPr>
        <w:t>6.投标保证金及标书费</w:t>
      </w:r>
    </w:p>
    <w:p>
      <w:pPr>
        <w:pStyle w:val="55"/>
        <w:numPr>
          <w:ilvl w:val="0"/>
          <w:numId w:val="0"/>
        </w:numPr>
        <w:ind w:firstLine="360" w:firstLineChars="150"/>
        <w:jc w:val="left"/>
        <w:rPr>
          <w:kern w:val="2"/>
          <w:sz w:val="24"/>
          <w:szCs w:val="24"/>
        </w:rPr>
      </w:pPr>
      <w:r>
        <w:rPr>
          <w:rFonts w:hint="eastAsia"/>
          <w:kern w:val="2"/>
          <w:sz w:val="24"/>
          <w:szCs w:val="24"/>
        </w:rPr>
        <w:t xml:space="preserve"> 6.1本项目不收取投标保证金。</w:t>
      </w:r>
    </w:p>
    <w:p>
      <w:pPr>
        <w:pStyle w:val="55"/>
        <w:numPr>
          <w:ilvl w:val="0"/>
          <w:numId w:val="0"/>
        </w:numPr>
        <w:ind w:firstLine="480" w:firstLineChars="200"/>
        <w:jc w:val="left"/>
        <w:rPr>
          <w:rFonts w:hint="eastAsia"/>
          <w:kern w:val="2"/>
          <w:sz w:val="24"/>
          <w:szCs w:val="24"/>
          <w:highlight w:val="none"/>
        </w:rPr>
      </w:pPr>
      <w:r>
        <w:rPr>
          <w:rFonts w:hint="eastAsia"/>
          <w:kern w:val="2"/>
          <w:sz w:val="24"/>
          <w:szCs w:val="24"/>
          <w:highlight w:val="none"/>
        </w:rPr>
        <w:t>6</w:t>
      </w:r>
      <w:r>
        <w:rPr>
          <w:kern w:val="2"/>
          <w:sz w:val="24"/>
          <w:szCs w:val="24"/>
          <w:highlight w:val="none"/>
        </w:rPr>
        <w:t>.2</w:t>
      </w:r>
      <w:r>
        <w:rPr>
          <w:rFonts w:hint="eastAsia"/>
          <w:kern w:val="2"/>
          <w:sz w:val="24"/>
          <w:szCs w:val="24"/>
          <w:highlight w:val="none"/>
        </w:rPr>
        <w:t>标书费金额及缴纳方式见“磋商公告”。</w:t>
      </w:r>
    </w:p>
    <w:p>
      <w:pPr>
        <w:pStyle w:val="55"/>
        <w:numPr>
          <w:ilvl w:val="0"/>
          <w:numId w:val="0"/>
        </w:numPr>
        <w:ind w:firstLine="360" w:firstLineChars="150"/>
        <w:jc w:val="left"/>
        <w:rPr>
          <w:rFonts w:hint="eastAsia"/>
          <w:b/>
          <w:sz w:val="24"/>
          <w:szCs w:val="24"/>
        </w:rPr>
      </w:pPr>
      <w:r>
        <w:rPr>
          <w:rFonts w:hint="eastAsia"/>
          <w:kern w:val="2"/>
          <w:sz w:val="24"/>
          <w:szCs w:val="24"/>
        </w:rPr>
        <w:t xml:space="preserve"> </w:t>
      </w:r>
      <w:r>
        <w:rPr>
          <w:rFonts w:hint="eastAsia"/>
          <w:b/>
          <w:sz w:val="24"/>
          <w:szCs w:val="24"/>
        </w:rPr>
        <w:t>7.投标文件的有效期</w:t>
      </w:r>
    </w:p>
    <w:p>
      <w:pPr>
        <w:pStyle w:val="55"/>
        <w:numPr>
          <w:ilvl w:val="0"/>
          <w:numId w:val="0"/>
        </w:numPr>
        <w:ind w:firstLine="240" w:firstLineChars="100"/>
        <w:jc w:val="left"/>
        <w:rPr>
          <w:rFonts w:hint="eastAsia"/>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55"/>
        <w:numPr>
          <w:ilvl w:val="0"/>
          <w:numId w:val="0"/>
        </w:numPr>
        <w:ind w:firstLine="240" w:firstLineChars="100"/>
        <w:jc w:val="left"/>
        <w:rPr>
          <w:rFonts w:hint="eastAsia"/>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55"/>
        <w:numPr>
          <w:ilvl w:val="0"/>
          <w:numId w:val="0"/>
        </w:numPr>
        <w:ind w:firstLine="234" w:firstLineChars="97"/>
        <w:jc w:val="left"/>
        <w:rPr>
          <w:rFonts w:hint="eastAsia"/>
          <w:b/>
          <w:sz w:val="24"/>
          <w:szCs w:val="24"/>
        </w:rPr>
      </w:pPr>
      <w:r>
        <w:rPr>
          <w:rFonts w:hint="eastAsia"/>
          <w:b/>
          <w:sz w:val="24"/>
          <w:szCs w:val="24"/>
        </w:rPr>
        <w:t xml:space="preserve">  8.投标文件的签署及其他规定</w:t>
      </w:r>
    </w:p>
    <w:p>
      <w:pPr>
        <w:pStyle w:val="55"/>
        <w:numPr>
          <w:ilvl w:val="0"/>
          <w:numId w:val="0"/>
        </w:numPr>
        <w:ind w:firstLine="240" w:firstLineChars="100"/>
        <w:jc w:val="left"/>
        <w:rPr>
          <w:rFonts w:hint="eastAsia"/>
          <w:sz w:val="24"/>
          <w:szCs w:val="24"/>
        </w:rPr>
      </w:pPr>
      <w:r>
        <w:rPr>
          <w:rFonts w:hint="eastAsia"/>
          <w:sz w:val="24"/>
          <w:szCs w:val="24"/>
        </w:rPr>
        <w:t xml:space="preserve">  8.1 组成投标文件的各项文件均应遵守本条。</w:t>
      </w:r>
    </w:p>
    <w:p>
      <w:pPr>
        <w:pStyle w:val="55"/>
        <w:numPr>
          <w:ilvl w:val="0"/>
          <w:numId w:val="0"/>
        </w:numPr>
        <w:ind w:firstLine="240" w:firstLineChars="100"/>
        <w:jc w:val="left"/>
        <w:rPr>
          <w:rFonts w:hint="eastAsia"/>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55"/>
        <w:numPr>
          <w:ilvl w:val="0"/>
          <w:numId w:val="0"/>
        </w:numPr>
        <w:ind w:firstLine="240" w:firstLineChars="100"/>
        <w:jc w:val="left"/>
        <w:rPr>
          <w:rFonts w:hint="eastAsia"/>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55"/>
        <w:numPr>
          <w:ilvl w:val="0"/>
          <w:numId w:val="0"/>
        </w:numPr>
        <w:ind w:firstLine="240" w:firstLineChars="100"/>
        <w:jc w:val="left"/>
        <w:rPr>
          <w:rFonts w:hint="eastAsia"/>
          <w:kern w:val="2"/>
          <w:sz w:val="24"/>
          <w:szCs w:val="24"/>
          <w:highlight w:val="yellow"/>
        </w:rPr>
      </w:pPr>
      <w:r>
        <w:rPr>
          <w:rFonts w:hint="eastAsia"/>
          <w:kern w:val="2"/>
          <w:sz w:val="24"/>
          <w:szCs w:val="24"/>
        </w:rPr>
        <w:t xml:space="preserve"> </w:t>
      </w:r>
      <w:r>
        <w:rPr>
          <w:rFonts w:hint="eastAsia"/>
          <w:kern w:val="2"/>
          <w:sz w:val="24"/>
          <w:szCs w:val="24"/>
          <w:highlight w:val="none"/>
        </w:rPr>
        <w:t xml:space="preserve"> 8.4 </w:t>
      </w:r>
      <w:r>
        <w:rPr>
          <w:rFonts w:hint="eastAsia"/>
          <w:b/>
          <w:kern w:val="2"/>
          <w:sz w:val="24"/>
          <w:szCs w:val="24"/>
          <w:highlight w:val="none"/>
        </w:rPr>
        <w:t>投标文件一式</w:t>
      </w:r>
      <w:r>
        <w:rPr>
          <w:rFonts w:hint="eastAsia"/>
          <w:b/>
          <w:kern w:val="2"/>
          <w:sz w:val="24"/>
          <w:szCs w:val="24"/>
          <w:highlight w:val="none"/>
          <w:lang w:val="en-US" w:eastAsia="zh-CN"/>
        </w:rPr>
        <w:t>5</w:t>
      </w:r>
      <w:r>
        <w:rPr>
          <w:rFonts w:hint="eastAsia"/>
          <w:b/>
          <w:kern w:val="2"/>
          <w:sz w:val="24"/>
          <w:szCs w:val="24"/>
          <w:highlight w:val="none"/>
        </w:rPr>
        <w:t>份，其中正本1份，副本</w:t>
      </w:r>
      <w:r>
        <w:rPr>
          <w:rFonts w:hint="eastAsia"/>
          <w:b/>
          <w:kern w:val="2"/>
          <w:sz w:val="24"/>
          <w:szCs w:val="24"/>
          <w:highlight w:val="none"/>
          <w:lang w:val="en-US" w:eastAsia="zh-CN"/>
        </w:rPr>
        <w:t>4</w:t>
      </w:r>
      <w:r>
        <w:rPr>
          <w:rFonts w:hint="eastAsia"/>
          <w:b/>
          <w:kern w:val="2"/>
          <w:sz w:val="24"/>
          <w:szCs w:val="24"/>
          <w:highlight w:val="none"/>
        </w:rPr>
        <w:t>份。</w:t>
      </w:r>
    </w:p>
    <w:p>
      <w:pPr>
        <w:pStyle w:val="55"/>
        <w:numPr>
          <w:ilvl w:val="0"/>
          <w:numId w:val="0"/>
        </w:numPr>
        <w:ind w:firstLine="240" w:firstLineChars="100"/>
        <w:jc w:val="left"/>
        <w:rPr>
          <w:rFonts w:hint="eastAsia"/>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55"/>
        <w:numPr>
          <w:ilvl w:val="0"/>
          <w:numId w:val="0"/>
        </w:numPr>
        <w:ind w:firstLine="240" w:firstLineChars="100"/>
        <w:jc w:val="left"/>
        <w:rPr>
          <w:rFonts w:hint="eastAsia"/>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55"/>
        <w:numPr>
          <w:ilvl w:val="0"/>
          <w:numId w:val="0"/>
        </w:numPr>
        <w:ind w:firstLine="240" w:firstLineChars="100"/>
        <w:jc w:val="left"/>
        <w:rPr>
          <w:rFonts w:hint="eastAsia"/>
          <w:sz w:val="24"/>
          <w:szCs w:val="24"/>
        </w:rPr>
      </w:pPr>
      <w:r>
        <w:rPr>
          <w:rFonts w:hint="eastAsia"/>
          <w:sz w:val="24"/>
          <w:szCs w:val="24"/>
        </w:rPr>
        <w:t xml:space="preserve">  8.7因投标文件字迹潦草或表达不清所引起的不利后果由投标人承担。</w:t>
      </w:r>
    </w:p>
    <w:p>
      <w:pPr>
        <w:pStyle w:val="76"/>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三、投标文件的递交</w:t>
      </w:r>
    </w:p>
    <w:p>
      <w:pPr>
        <w:pStyle w:val="55"/>
        <w:numPr>
          <w:ilvl w:val="0"/>
          <w:numId w:val="0"/>
        </w:numPr>
        <w:tabs>
          <w:tab w:val="left" w:pos="480"/>
        </w:tabs>
        <w:ind w:firstLine="482" w:firstLineChars="200"/>
        <w:jc w:val="left"/>
        <w:rPr>
          <w:rFonts w:hint="eastAsia"/>
          <w:b/>
          <w:sz w:val="24"/>
          <w:szCs w:val="24"/>
        </w:rPr>
      </w:pPr>
      <w:r>
        <w:rPr>
          <w:rFonts w:hint="eastAsia"/>
          <w:b/>
          <w:sz w:val="24"/>
          <w:szCs w:val="24"/>
        </w:rPr>
        <w:t>1.投标文件的密封及标记</w:t>
      </w:r>
    </w:p>
    <w:p>
      <w:pPr>
        <w:pStyle w:val="55"/>
        <w:numPr>
          <w:ilvl w:val="0"/>
          <w:numId w:val="0"/>
        </w:numPr>
        <w:tabs>
          <w:tab w:val="left" w:pos="0"/>
        </w:tabs>
        <w:ind w:left="420" w:leftChars="200"/>
        <w:jc w:val="left"/>
        <w:rPr>
          <w:rFonts w:hint="eastAsia"/>
          <w:sz w:val="24"/>
          <w:szCs w:val="24"/>
        </w:rPr>
      </w:pPr>
      <w:r>
        <w:rPr>
          <w:rFonts w:hint="eastAsia"/>
          <w:sz w:val="24"/>
          <w:szCs w:val="24"/>
        </w:rPr>
        <w:t>1.1投标文件应按以下方法分别装袋密封：</w:t>
      </w:r>
    </w:p>
    <w:p>
      <w:pPr>
        <w:ind w:firstLine="480" w:firstLineChars="200"/>
        <w:jc w:val="left"/>
        <w:rPr>
          <w:rFonts w:hint="eastAsia" w:ascii="宋体" w:hAnsi="宋体"/>
          <w:sz w:val="24"/>
          <w:highlight w:val="none"/>
        </w:rPr>
      </w:pPr>
      <w:r>
        <w:rPr>
          <w:rFonts w:hint="eastAsia" w:ascii="宋体" w:hAnsi="宋体"/>
          <w:sz w:val="24"/>
          <w:highlight w:val="none"/>
        </w:rPr>
        <w:t>投标文件密封袋内装投标文件正副本共一式</w:t>
      </w:r>
      <w:r>
        <w:rPr>
          <w:rFonts w:hint="eastAsia" w:ascii="宋体" w:hAnsi="宋体"/>
          <w:sz w:val="24"/>
          <w:highlight w:val="none"/>
          <w:lang w:val="en-US" w:eastAsia="zh-CN"/>
        </w:rPr>
        <w:t>5</w:t>
      </w:r>
      <w:r>
        <w:rPr>
          <w:rFonts w:hint="eastAsia" w:ascii="宋体" w:hAnsi="宋体"/>
          <w:sz w:val="24"/>
          <w:highlight w:val="none"/>
        </w:rPr>
        <w:t>份（及投标人认为有必要提交的其他资料）。</w:t>
      </w:r>
      <w:r>
        <w:rPr>
          <w:rFonts w:hint="eastAsia" w:ascii="宋体" w:hAnsi="宋体"/>
          <w:b/>
          <w:sz w:val="24"/>
          <w:highlight w:val="none"/>
        </w:rPr>
        <w:t>投标文件正副本装于一个密封袋内，不得分开封装。</w:t>
      </w:r>
      <w:r>
        <w:rPr>
          <w:rFonts w:hint="eastAsia" w:ascii="宋体" w:hAnsi="宋体"/>
          <w:sz w:val="24"/>
          <w:highlight w:val="none"/>
        </w:rPr>
        <w:t>封口处应有投标人公章。封皮上写明项目编号、项目名称、投标人全称、地址，并注明“投标时启封”字样。</w:t>
      </w:r>
    </w:p>
    <w:p>
      <w:pPr>
        <w:ind w:firstLine="480" w:firstLineChars="200"/>
        <w:jc w:val="left"/>
        <w:rPr>
          <w:rFonts w:ascii="宋体" w:hAnsi="宋体"/>
          <w:sz w:val="24"/>
        </w:rPr>
      </w:pPr>
      <w:r>
        <w:rPr>
          <w:rFonts w:hint="eastAsia" w:ascii="宋体" w:hAnsi="宋体"/>
          <w:sz w:val="24"/>
          <w:highlight w:val="none"/>
        </w:rPr>
        <w:t>1.2投标人未按要求对投标文件密封及加写标记，投标可能被拒绝；采购人</w:t>
      </w:r>
      <w:r>
        <w:rPr>
          <w:rFonts w:hint="eastAsia" w:ascii="宋体" w:hAnsi="宋体"/>
          <w:sz w:val="24"/>
        </w:rPr>
        <w:t>对投标文件的误投和提前启封概不负责。对由此造成提前开封的投标文件，采购人有权予以拒绝，并退回投标人。因投标人未按要求对投标文件密封及加写标记产生的不良后果，由投标人承担。</w:t>
      </w:r>
    </w:p>
    <w:p>
      <w:pPr>
        <w:pStyle w:val="55"/>
        <w:numPr>
          <w:ilvl w:val="0"/>
          <w:numId w:val="0"/>
        </w:numPr>
        <w:tabs>
          <w:tab w:val="left" w:pos="480"/>
        </w:tabs>
        <w:ind w:firstLine="482" w:firstLineChars="200"/>
        <w:jc w:val="left"/>
        <w:rPr>
          <w:rFonts w:hint="eastAsia"/>
          <w:b/>
          <w:sz w:val="24"/>
          <w:szCs w:val="24"/>
        </w:rPr>
      </w:pPr>
      <w:r>
        <w:rPr>
          <w:rFonts w:hint="eastAsia"/>
          <w:b/>
          <w:sz w:val="24"/>
          <w:szCs w:val="24"/>
        </w:rPr>
        <w:t>2.投标截止时间</w:t>
      </w:r>
    </w:p>
    <w:p>
      <w:pPr>
        <w:ind w:firstLine="480" w:firstLineChars="200"/>
        <w:jc w:val="left"/>
        <w:rPr>
          <w:rFonts w:hint="eastAsia" w:ascii="宋体" w:hAnsi="宋体"/>
          <w:sz w:val="24"/>
        </w:rPr>
      </w:pPr>
      <w:r>
        <w:rPr>
          <w:rFonts w:hint="eastAsia" w:ascii="宋体" w:hAnsi="宋体"/>
          <w:sz w:val="24"/>
        </w:rPr>
        <w:t>2.1投标文件须按照磋商文件或磋商公告规定的时间、地点送达。</w:t>
      </w:r>
    </w:p>
    <w:p>
      <w:pPr>
        <w:ind w:firstLine="480" w:firstLineChars="200"/>
        <w:jc w:val="left"/>
        <w:rPr>
          <w:rFonts w:hint="eastAsia"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jc w:val="left"/>
        <w:rPr>
          <w:rFonts w:hint="eastAsia" w:ascii="宋体" w:hAnsi="宋体"/>
          <w:sz w:val="24"/>
        </w:rPr>
      </w:pPr>
      <w:r>
        <w:rPr>
          <w:rFonts w:hint="eastAsia" w:ascii="宋体" w:hAnsi="宋体"/>
          <w:sz w:val="24"/>
        </w:rPr>
        <w:t>2.3拒绝接收在提交投标文件截止时间以后送达的投标文件。</w:t>
      </w:r>
    </w:p>
    <w:p>
      <w:pPr>
        <w:pStyle w:val="55"/>
        <w:numPr>
          <w:ilvl w:val="0"/>
          <w:numId w:val="0"/>
        </w:numPr>
        <w:tabs>
          <w:tab w:val="left" w:pos="480"/>
        </w:tabs>
        <w:ind w:firstLine="482" w:firstLineChars="200"/>
        <w:jc w:val="left"/>
        <w:rPr>
          <w:rFonts w:hint="eastAsia"/>
          <w:b/>
          <w:sz w:val="24"/>
          <w:szCs w:val="24"/>
        </w:rPr>
      </w:pPr>
      <w:r>
        <w:rPr>
          <w:rFonts w:hint="eastAsia"/>
          <w:b/>
          <w:sz w:val="24"/>
          <w:szCs w:val="24"/>
        </w:rPr>
        <w:t>3.投标文件的修改和撤回</w:t>
      </w:r>
    </w:p>
    <w:p>
      <w:pPr>
        <w:ind w:firstLine="480" w:firstLineChars="200"/>
        <w:jc w:val="left"/>
        <w:rPr>
          <w:rFonts w:hint="eastAsia"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jc w:val="left"/>
        <w:rPr>
          <w:rFonts w:hint="eastAsia"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jc w:val="left"/>
        <w:rPr>
          <w:rFonts w:hint="eastAsia"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76"/>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四、开标评标</w:t>
      </w:r>
    </w:p>
    <w:p>
      <w:pPr>
        <w:pStyle w:val="55"/>
        <w:numPr>
          <w:ilvl w:val="0"/>
          <w:numId w:val="0"/>
        </w:numPr>
        <w:ind w:left="420" w:leftChars="200"/>
        <w:jc w:val="left"/>
        <w:rPr>
          <w:rFonts w:hint="eastAsia"/>
          <w:b/>
          <w:sz w:val="24"/>
          <w:szCs w:val="24"/>
        </w:rPr>
      </w:pPr>
      <w:r>
        <w:rPr>
          <w:rFonts w:hint="eastAsia"/>
          <w:b/>
          <w:sz w:val="24"/>
          <w:szCs w:val="24"/>
        </w:rPr>
        <w:t>1.评标原则</w:t>
      </w:r>
    </w:p>
    <w:p>
      <w:pPr>
        <w:ind w:firstLine="480" w:firstLineChars="200"/>
        <w:jc w:val="left"/>
        <w:rPr>
          <w:rFonts w:hint="eastAsia" w:ascii="宋体" w:hAnsi="宋体"/>
          <w:sz w:val="24"/>
        </w:rPr>
      </w:pPr>
      <w:r>
        <w:rPr>
          <w:rFonts w:hint="eastAsia" w:ascii="宋体" w:hAnsi="宋体"/>
          <w:sz w:val="24"/>
        </w:rPr>
        <w:t>1.1投标人资格与资质条件是否符合磋商文件的要求；</w:t>
      </w:r>
    </w:p>
    <w:p>
      <w:pPr>
        <w:ind w:firstLine="480" w:firstLineChars="200"/>
        <w:jc w:val="left"/>
        <w:rPr>
          <w:rFonts w:hint="eastAsia" w:ascii="宋体" w:hAnsi="宋体"/>
          <w:sz w:val="24"/>
        </w:rPr>
      </w:pPr>
      <w:r>
        <w:rPr>
          <w:rFonts w:hint="eastAsia" w:ascii="宋体" w:hAnsi="宋体"/>
          <w:sz w:val="24"/>
        </w:rPr>
        <w:t>1.2投标人在投标文件中提交的商务和技术文件是否响应本磋商文件的要求；</w:t>
      </w:r>
    </w:p>
    <w:p>
      <w:pPr>
        <w:ind w:firstLine="480" w:firstLineChars="200"/>
        <w:jc w:val="left"/>
        <w:rPr>
          <w:rFonts w:hint="eastAsia" w:ascii="宋体" w:hAnsi="宋体"/>
          <w:sz w:val="24"/>
        </w:rPr>
      </w:pPr>
      <w:r>
        <w:rPr>
          <w:rFonts w:hint="eastAsia" w:ascii="宋体" w:hAnsi="宋体"/>
          <w:sz w:val="24"/>
        </w:rPr>
        <w:t>1.3投标人的技术文件是否合理可行；</w:t>
      </w:r>
    </w:p>
    <w:p>
      <w:pPr>
        <w:ind w:firstLine="480" w:firstLineChars="200"/>
        <w:jc w:val="left"/>
        <w:rPr>
          <w:rFonts w:hint="eastAsia" w:ascii="宋体" w:hAnsi="宋体"/>
          <w:sz w:val="24"/>
        </w:rPr>
      </w:pPr>
      <w:r>
        <w:rPr>
          <w:rFonts w:hint="eastAsia" w:ascii="宋体" w:hAnsi="宋体"/>
          <w:sz w:val="24"/>
        </w:rPr>
        <w:t>1.4投标人是否具备良好的经营状况和履行本项目的能力。</w:t>
      </w:r>
    </w:p>
    <w:p>
      <w:pPr>
        <w:pStyle w:val="55"/>
        <w:numPr>
          <w:ilvl w:val="0"/>
          <w:numId w:val="0"/>
        </w:numPr>
        <w:ind w:left="420" w:leftChars="200"/>
        <w:jc w:val="left"/>
        <w:rPr>
          <w:rFonts w:hint="eastAsia"/>
          <w:b/>
          <w:sz w:val="24"/>
          <w:szCs w:val="24"/>
        </w:rPr>
      </w:pPr>
      <w:r>
        <w:rPr>
          <w:rFonts w:hint="eastAsia"/>
          <w:b/>
          <w:sz w:val="24"/>
          <w:szCs w:val="24"/>
        </w:rPr>
        <w:t>2.开标</w:t>
      </w:r>
    </w:p>
    <w:p>
      <w:pPr>
        <w:pStyle w:val="55"/>
        <w:numPr>
          <w:ilvl w:val="0"/>
          <w:numId w:val="0"/>
        </w:numPr>
        <w:tabs>
          <w:tab w:val="left" w:pos="420"/>
        </w:tabs>
        <w:ind w:left="420" w:leftChars="200"/>
        <w:jc w:val="left"/>
        <w:rPr>
          <w:rFonts w:hint="eastAsia"/>
          <w:b/>
          <w:sz w:val="24"/>
          <w:szCs w:val="24"/>
        </w:rPr>
      </w:pPr>
      <w:r>
        <w:rPr>
          <w:rFonts w:hint="eastAsia"/>
          <w:b/>
          <w:sz w:val="24"/>
          <w:szCs w:val="24"/>
        </w:rPr>
        <w:t>3.磋商</w:t>
      </w:r>
    </w:p>
    <w:p>
      <w:pPr>
        <w:ind w:firstLine="480" w:firstLineChars="200"/>
        <w:jc w:val="left"/>
        <w:rPr>
          <w:rFonts w:hint="eastAsia" w:ascii="宋体" w:hAnsi="宋体"/>
          <w:sz w:val="24"/>
        </w:rPr>
      </w:pPr>
      <w:r>
        <w:rPr>
          <w:rFonts w:hint="eastAsia" w:ascii="宋体" w:hAnsi="宋体"/>
          <w:sz w:val="24"/>
        </w:rPr>
        <w:t>3.1每个投标人都需进行磋商。投标人应按采购人通知的时间、地点，由法定代表人或其授权代表参加。</w:t>
      </w:r>
    </w:p>
    <w:p>
      <w:pPr>
        <w:ind w:firstLine="480" w:firstLineChars="200"/>
        <w:jc w:val="left"/>
        <w:rPr>
          <w:rFonts w:hint="eastAsia" w:ascii="宋体" w:hAnsi="宋体"/>
          <w:sz w:val="24"/>
        </w:rPr>
      </w:pPr>
      <w:r>
        <w:rPr>
          <w:rFonts w:hint="eastAsia" w:ascii="宋体" w:hAnsi="宋体"/>
          <w:sz w:val="24"/>
        </w:rPr>
        <w:t>3.2在</w:t>
      </w:r>
      <w:r>
        <w:rPr>
          <w:rFonts w:ascii="宋体" w:hAnsi="宋体"/>
          <w:sz w:val="24"/>
        </w:rPr>
        <w:t>磋商中</w:t>
      </w:r>
      <w:r>
        <w:rPr>
          <w:rFonts w:hint="eastAsia" w:ascii="宋体" w:hAnsi="宋体"/>
          <w:sz w:val="24"/>
        </w:rPr>
        <w:t>如果评标小组确认需要投标人就投标文件中的相关问题作出补正，须由投标人代表签字确认。</w:t>
      </w:r>
    </w:p>
    <w:p>
      <w:pPr>
        <w:ind w:firstLine="480" w:firstLineChars="200"/>
        <w:jc w:val="left"/>
        <w:rPr>
          <w:rFonts w:ascii="宋体" w:hAnsi="宋体"/>
          <w:sz w:val="24"/>
        </w:rPr>
      </w:pPr>
      <w:r>
        <w:rPr>
          <w:rFonts w:hint="eastAsia" w:ascii="宋体" w:hAnsi="宋体"/>
          <w:sz w:val="24"/>
        </w:rPr>
        <w:t>3.3评标小组对磋商文件实质性内容作出变更，采购人将通知所有参加投标的投标人，使每个投标人均有同等机会根据修改后的条件提交新的方案和</w:t>
      </w:r>
      <w:r>
        <w:rPr>
          <w:rFonts w:ascii="宋体" w:hAnsi="宋体"/>
          <w:sz w:val="24"/>
        </w:rPr>
        <w:t>报价</w:t>
      </w:r>
      <w:r>
        <w:rPr>
          <w:rFonts w:hint="eastAsia" w:ascii="宋体" w:hAnsi="宋体"/>
          <w:sz w:val="24"/>
        </w:rPr>
        <w:t>。</w:t>
      </w:r>
    </w:p>
    <w:p>
      <w:pPr>
        <w:ind w:firstLine="480" w:firstLineChars="200"/>
        <w:jc w:val="left"/>
        <w:rPr>
          <w:rFonts w:hint="eastAsia" w:ascii="宋体" w:hAnsi="宋体"/>
          <w:sz w:val="24"/>
        </w:rPr>
      </w:pPr>
      <w:r>
        <w:rPr>
          <w:rFonts w:ascii="宋体" w:hAnsi="宋体"/>
          <w:sz w:val="24"/>
        </w:rPr>
        <w:t>3.4</w:t>
      </w:r>
      <w:r>
        <w:rPr>
          <w:rFonts w:hint="eastAsia" w:ascii="宋体" w:hAnsi="宋体"/>
          <w:sz w:val="24"/>
        </w:rPr>
        <w:t>每个投标人的磋商时间为3-5分钟；评委视磋商情况可适当延长磋商时间。</w:t>
      </w:r>
    </w:p>
    <w:p>
      <w:pPr>
        <w:pStyle w:val="55"/>
        <w:numPr>
          <w:ilvl w:val="0"/>
          <w:numId w:val="0"/>
        </w:numPr>
        <w:tabs>
          <w:tab w:val="left" w:pos="420"/>
        </w:tabs>
        <w:ind w:left="420" w:leftChars="200"/>
        <w:jc w:val="left"/>
        <w:rPr>
          <w:rFonts w:hint="eastAsia"/>
          <w:b/>
          <w:sz w:val="24"/>
          <w:szCs w:val="24"/>
        </w:rPr>
      </w:pPr>
      <w:r>
        <w:rPr>
          <w:rFonts w:hint="eastAsia"/>
          <w:b/>
          <w:sz w:val="24"/>
          <w:szCs w:val="24"/>
        </w:rPr>
        <w:t>4.评标</w:t>
      </w:r>
    </w:p>
    <w:p>
      <w:pPr>
        <w:ind w:firstLine="480" w:firstLineChars="200"/>
        <w:jc w:val="left"/>
        <w:rPr>
          <w:rFonts w:hint="eastAsia" w:ascii="宋体" w:hAnsi="宋体"/>
          <w:color w:val="000000"/>
          <w:sz w:val="24"/>
        </w:rPr>
      </w:pPr>
      <w:r>
        <w:rPr>
          <w:rFonts w:hint="eastAsia" w:ascii="宋体" w:hAnsi="宋体"/>
          <w:color w:val="000000"/>
          <w:sz w:val="24"/>
        </w:rPr>
        <w:t>在</w:t>
      </w:r>
      <w:r>
        <w:rPr>
          <w:rFonts w:hint="eastAsia" w:ascii="宋体" w:hAnsi="宋体"/>
          <w:color w:val="000000"/>
          <w:sz w:val="24"/>
          <w:lang w:eastAsia="zh-CN"/>
        </w:rPr>
        <w:t>学院</w:t>
      </w:r>
      <w:r>
        <w:rPr>
          <w:rFonts w:hint="eastAsia" w:ascii="宋体" w:hAnsi="宋体"/>
          <w:color w:val="000000"/>
          <w:sz w:val="24"/>
        </w:rPr>
        <w:t>监督部门参与下，由</w:t>
      </w:r>
      <w:r>
        <w:rPr>
          <w:rFonts w:hint="eastAsia" w:ascii="宋体" w:hAnsi="宋体"/>
          <w:color w:val="000000"/>
          <w:sz w:val="24"/>
          <w:lang w:eastAsia="zh-CN"/>
        </w:rPr>
        <w:t>我院集中采购中心</w:t>
      </w:r>
      <w:r>
        <w:rPr>
          <w:rFonts w:hint="eastAsia" w:ascii="宋体" w:hAnsi="宋体"/>
          <w:color w:val="000000"/>
          <w:sz w:val="24"/>
        </w:rPr>
        <w:t>办负责组建的评标小组本着公平、公正的原则，采用综合评分法评标。</w:t>
      </w:r>
    </w:p>
    <w:p>
      <w:pPr>
        <w:ind w:firstLine="480" w:firstLineChars="200"/>
        <w:jc w:val="left"/>
        <w:rPr>
          <w:rFonts w:hint="eastAsia"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jc w:val="left"/>
        <w:rPr>
          <w:rFonts w:hint="eastAsia"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jc w:val="left"/>
        <w:rPr>
          <w:rFonts w:hint="eastAsia" w:ascii="宋体" w:hAnsi="宋体"/>
          <w:sz w:val="24"/>
        </w:rPr>
      </w:pPr>
      <w:r>
        <w:rPr>
          <w:rFonts w:hint="eastAsia" w:ascii="宋体" w:hAnsi="宋体"/>
          <w:sz w:val="24"/>
        </w:rPr>
        <w:t>4.3评标小组将审查投标文件是否完整，有无计算上的错误，是否足额提交投标保证金，文件签署是否合格，投标文件是否编排有序，且基本符合磋商文件要求。</w:t>
      </w:r>
    </w:p>
    <w:p>
      <w:pPr>
        <w:pStyle w:val="76"/>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五、授予合同</w:t>
      </w:r>
    </w:p>
    <w:p>
      <w:pPr>
        <w:ind w:firstLine="482" w:firstLineChars="200"/>
        <w:jc w:val="left"/>
        <w:rPr>
          <w:rFonts w:hint="eastAsia" w:ascii="宋体" w:hAnsi="宋体"/>
          <w:sz w:val="24"/>
        </w:rPr>
      </w:pPr>
      <w:r>
        <w:rPr>
          <w:rFonts w:hint="eastAsia" w:ascii="宋体" w:hAnsi="宋体"/>
          <w:b/>
          <w:sz w:val="24"/>
        </w:rPr>
        <w:t>1.授予合同的顺序</w:t>
      </w:r>
    </w:p>
    <w:p>
      <w:pPr>
        <w:ind w:firstLine="480" w:firstLineChars="200"/>
        <w:jc w:val="left"/>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55"/>
        <w:numPr>
          <w:ilvl w:val="0"/>
          <w:numId w:val="0"/>
        </w:numPr>
        <w:ind w:left="420" w:leftChars="200"/>
        <w:jc w:val="left"/>
        <w:rPr>
          <w:rFonts w:hint="eastAsia"/>
          <w:b/>
          <w:sz w:val="24"/>
          <w:szCs w:val="24"/>
        </w:rPr>
      </w:pPr>
      <w:r>
        <w:rPr>
          <w:rFonts w:hint="eastAsia"/>
          <w:b/>
          <w:sz w:val="24"/>
          <w:szCs w:val="24"/>
        </w:rPr>
        <w:t>2.采购人拒绝投标的权利</w:t>
      </w:r>
    </w:p>
    <w:p>
      <w:pPr>
        <w:pStyle w:val="55"/>
        <w:numPr>
          <w:ilvl w:val="0"/>
          <w:numId w:val="0"/>
        </w:numPr>
        <w:ind w:left="420" w:leftChars="200"/>
        <w:jc w:val="left"/>
        <w:rPr>
          <w:rFonts w:hint="eastAsia"/>
          <w:sz w:val="24"/>
          <w:szCs w:val="24"/>
        </w:rPr>
      </w:pPr>
      <w:r>
        <w:rPr>
          <w:rFonts w:hint="eastAsia"/>
          <w:sz w:val="24"/>
          <w:szCs w:val="24"/>
        </w:rPr>
        <w:t>出现下列情况之一时，采购人有权拒绝所有投标，并将理由通知所有投标人：</w:t>
      </w:r>
    </w:p>
    <w:p>
      <w:pPr>
        <w:ind w:firstLine="480" w:firstLineChars="200"/>
        <w:jc w:val="left"/>
        <w:rPr>
          <w:rFonts w:hint="eastAsia" w:ascii="宋体" w:hAnsi="宋体"/>
          <w:sz w:val="24"/>
        </w:rPr>
      </w:pPr>
      <w:r>
        <w:rPr>
          <w:rFonts w:hint="eastAsia" w:ascii="宋体" w:hAnsi="宋体"/>
          <w:sz w:val="24"/>
        </w:rPr>
        <w:t>2.1出现影响采购公正的违法、违规行为的；</w:t>
      </w:r>
    </w:p>
    <w:p>
      <w:pPr>
        <w:ind w:firstLine="480" w:firstLineChars="200"/>
        <w:jc w:val="left"/>
        <w:rPr>
          <w:rFonts w:hint="eastAsia" w:ascii="宋体" w:hAnsi="宋体"/>
          <w:sz w:val="24"/>
        </w:rPr>
      </w:pPr>
      <w:r>
        <w:rPr>
          <w:rFonts w:hint="eastAsia" w:ascii="宋体" w:hAnsi="宋体"/>
          <w:sz w:val="24"/>
        </w:rPr>
        <w:t>2.2投标人的投标均超过了采购预算或最高限价，采购人不能支付的；</w:t>
      </w:r>
    </w:p>
    <w:p>
      <w:pPr>
        <w:ind w:firstLine="480" w:firstLineChars="200"/>
        <w:jc w:val="left"/>
        <w:rPr>
          <w:rFonts w:hint="eastAsia" w:ascii="宋体" w:hAnsi="宋体"/>
          <w:sz w:val="24"/>
        </w:rPr>
      </w:pPr>
      <w:r>
        <w:rPr>
          <w:rFonts w:hint="eastAsia" w:ascii="宋体" w:hAnsi="宋体"/>
          <w:sz w:val="24"/>
        </w:rPr>
        <w:t>2.3因重大变故，采购任务取消的。</w:t>
      </w:r>
    </w:p>
    <w:p>
      <w:pPr>
        <w:pStyle w:val="55"/>
        <w:numPr>
          <w:ilvl w:val="0"/>
          <w:numId w:val="0"/>
        </w:numPr>
        <w:ind w:left="420" w:leftChars="200"/>
        <w:jc w:val="left"/>
        <w:rPr>
          <w:rFonts w:hint="eastAsia"/>
          <w:b/>
          <w:sz w:val="24"/>
          <w:szCs w:val="24"/>
        </w:rPr>
      </w:pPr>
      <w:r>
        <w:rPr>
          <w:rFonts w:hint="eastAsia"/>
          <w:b/>
          <w:sz w:val="24"/>
          <w:szCs w:val="24"/>
        </w:rPr>
        <w:t>3.成交通知</w:t>
      </w:r>
    </w:p>
    <w:p>
      <w:pPr>
        <w:ind w:firstLine="480" w:firstLineChars="200"/>
        <w:jc w:val="left"/>
        <w:rPr>
          <w:rFonts w:hint="eastAsia" w:ascii="宋体" w:hAnsi="宋体"/>
          <w:sz w:val="24"/>
          <w:highlight w:val="none"/>
        </w:rPr>
      </w:pPr>
      <w:r>
        <w:rPr>
          <w:rFonts w:hint="eastAsia" w:ascii="宋体" w:hAnsi="宋体"/>
          <w:sz w:val="24"/>
          <w:highlight w:val="none"/>
        </w:rPr>
        <w:t>3.1采购人在</w:t>
      </w:r>
      <w:r>
        <w:rPr>
          <w:rFonts w:hint="eastAsia" w:ascii="宋体" w:hAnsi="宋体"/>
          <w:sz w:val="24"/>
          <w:highlight w:val="none"/>
          <w:lang w:eastAsia="zh-CN"/>
        </w:rPr>
        <w:t>江苏师范大学科文学院网站</w:t>
      </w:r>
      <w:r>
        <w:rPr>
          <w:rFonts w:hint="eastAsia" w:ascii="宋体" w:hAnsi="宋体"/>
          <w:sz w:val="24"/>
          <w:highlight w:val="none"/>
        </w:rPr>
        <w:t>（http://kwxy.jsnu.edu.cn/）发布成交信息。采购人对未成交的投标人不做未成交原因的解释。</w:t>
      </w:r>
    </w:p>
    <w:p>
      <w:pPr>
        <w:ind w:firstLine="480" w:firstLineChars="200"/>
        <w:jc w:val="left"/>
        <w:rPr>
          <w:rFonts w:hint="eastAsia" w:ascii="宋体" w:hAnsi="宋体"/>
          <w:sz w:val="24"/>
          <w:highlight w:val="none"/>
        </w:rPr>
      </w:pPr>
      <w:r>
        <w:rPr>
          <w:rFonts w:hint="eastAsia" w:ascii="宋体" w:hAnsi="宋体"/>
          <w:sz w:val="24"/>
          <w:highlight w:val="none"/>
        </w:rPr>
        <w:t>3.2成交结果公告结束后，成交人需到</w:t>
      </w:r>
      <w:r>
        <w:rPr>
          <w:rFonts w:hint="eastAsia" w:ascii="宋体" w:hAnsi="宋体"/>
          <w:sz w:val="24"/>
          <w:highlight w:val="none"/>
          <w:lang w:eastAsia="zh-CN"/>
        </w:rPr>
        <w:t>集中采购中心</w:t>
      </w:r>
      <w:r>
        <w:rPr>
          <w:rFonts w:hint="eastAsia" w:ascii="宋体" w:hAnsi="宋体"/>
          <w:sz w:val="24"/>
          <w:highlight w:val="none"/>
        </w:rPr>
        <w:t>领取成交通知书。</w:t>
      </w:r>
    </w:p>
    <w:p>
      <w:pPr>
        <w:ind w:firstLine="480" w:firstLineChars="200"/>
        <w:jc w:val="left"/>
        <w:rPr>
          <w:rFonts w:hint="eastAsia" w:ascii="宋体" w:hAnsi="宋体"/>
          <w:sz w:val="24"/>
          <w:highlight w:val="none"/>
        </w:rPr>
      </w:pPr>
      <w:r>
        <w:rPr>
          <w:rFonts w:hint="eastAsia" w:ascii="宋体" w:hAnsi="宋体"/>
          <w:sz w:val="24"/>
          <w:highlight w:val="none"/>
        </w:rPr>
        <w:t>3.3成交通知书是合同的组成部分。</w:t>
      </w:r>
    </w:p>
    <w:p>
      <w:pPr>
        <w:pStyle w:val="55"/>
        <w:numPr>
          <w:ilvl w:val="0"/>
          <w:numId w:val="0"/>
        </w:numPr>
        <w:ind w:left="420" w:leftChars="200"/>
        <w:rPr>
          <w:rFonts w:hint="eastAsia"/>
          <w:b/>
          <w:sz w:val="24"/>
          <w:szCs w:val="24"/>
          <w:highlight w:val="none"/>
        </w:rPr>
      </w:pPr>
      <w:r>
        <w:rPr>
          <w:rFonts w:hint="eastAsia"/>
          <w:b/>
          <w:sz w:val="24"/>
          <w:szCs w:val="24"/>
          <w:highlight w:val="none"/>
        </w:rPr>
        <w:t>4.签订合同</w:t>
      </w:r>
    </w:p>
    <w:p>
      <w:pPr>
        <w:ind w:firstLine="480" w:firstLineChars="200"/>
        <w:rPr>
          <w:rFonts w:hint="eastAsia" w:ascii="宋体" w:hAnsi="宋体"/>
          <w:sz w:val="24"/>
          <w:highlight w:val="none"/>
        </w:rPr>
      </w:pPr>
      <w:r>
        <w:rPr>
          <w:rFonts w:hint="eastAsia" w:ascii="宋体" w:hAnsi="宋体"/>
          <w:sz w:val="24"/>
          <w:highlight w:val="none"/>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hint="eastAsia" w:ascii="宋体" w:hAnsi="宋体"/>
          <w:sz w:val="24"/>
          <w:highlight w:val="none"/>
        </w:rPr>
      </w:pPr>
      <w:r>
        <w:rPr>
          <w:rFonts w:hint="eastAsia" w:ascii="宋体" w:hAnsi="宋体"/>
          <w:sz w:val="24"/>
          <w:highlight w:val="none"/>
        </w:rPr>
        <w:t>4.2成交人应按照磋商文件、投标文件及评审过程中有关的澄清说明或补正文件的内容与采购人签订合同。</w:t>
      </w:r>
    </w:p>
    <w:p>
      <w:pPr>
        <w:ind w:firstLine="480" w:firstLineChars="200"/>
        <w:rPr>
          <w:rFonts w:hint="eastAsia" w:ascii="宋体" w:hAnsi="宋体"/>
          <w:sz w:val="24"/>
          <w:highlight w:val="none"/>
        </w:rPr>
      </w:pPr>
      <w:r>
        <w:rPr>
          <w:rFonts w:hint="eastAsia" w:ascii="宋体" w:hAnsi="宋体"/>
          <w:sz w:val="24"/>
          <w:highlight w:val="none"/>
        </w:rPr>
        <w:t>4.3投标人一旦成交，签订合同后不得分包或转包，否则将被视为成交后撤回投标处理。</w:t>
      </w:r>
    </w:p>
    <w:p>
      <w:pPr>
        <w:ind w:firstLine="480" w:firstLineChars="200"/>
        <w:rPr>
          <w:rFonts w:ascii="宋体" w:hAnsi="宋体"/>
          <w:sz w:val="24"/>
          <w:highlight w:val="none"/>
        </w:rPr>
      </w:pPr>
      <w:r>
        <w:rPr>
          <w:rFonts w:hint="eastAsia" w:ascii="宋体" w:hAnsi="宋体"/>
          <w:sz w:val="24"/>
          <w:highlight w:val="none"/>
        </w:rPr>
        <w:t>4.4不按约定签订或履行合同，给对方造成损失的，应承担赔偿责任。</w:t>
      </w:r>
    </w:p>
    <w:p>
      <w:pPr>
        <w:ind w:firstLine="482" w:firstLineChars="200"/>
        <w:rPr>
          <w:rFonts w:hint="eastAsia" w:ascii="宋体" w:hAnsi="宋体"/>
          <w:b/>
          <w:sz w:val="24"/>
          <w:highlight w:val="none"/>
        </w:rPr>
      </w:pPr>
      <w:r>
        <w:rPr>
          <w:rFonts w:hint="eastAsia" w:ascii="宋体" w:hAnsi="宋体"/>
          <w:b/>
          <w:sz w:val="24"/>
          <w:highlight w:val="none"/>
        </w:rPr>
        <w:t>4</w:t>
      </w:r>
      <w:r>
        <w:rPr>
          <w:rFonts w:ascii="宋体" w:hAnsi="宋体"/>
          <w:b/>
          <w:sz w:val="24"/>
          <w:highlight w:val="none"/>
        </w:rPr>
        <w:t>.5</w:t>
      </w:r>
      <w:r>
        <w:rPr>
          <w:rFonts w:hint="eastAsia" w:ascii="宋体" w:hAnsi="宋体"/>
          <w:b/>
          <w:sz w:val="24"/>
          <w:highlight w:val="none"/>
        </w:rPr>
        <w:t>成交后无正当理由拒不与采购人签订采购合同或不按约定签订或履行合同，采购人将其失信行为列入不良记录并报省财政厅备案，且3年内禁止在我</w:t>
      </w:r>
      <w:r>
        <w:rPr>
          <w:rFonts w:hint="eastAsia" w:ascii="宋体" w:hAnsi="宋体"/>
          <w:b/>
          <w:sz w:val="24"/>
          <w:highlight w:val="none"/>
          <w:lang w:eastAsia="zh-CN"/>
        </w:rPr>
        <w:t>院</w:t>
      </w:r>
      <w:r>
        <w:rPr>
          <w:rFonts w:hint="eastAsia" w:ascii="宋体" w:hAnsi="宋体"/>
          <w:b/>
          <w:sz w:val="24"/>
          <w:highlight w:val="none"/>
        </w:rPr>
        <w:t>参与招投标活动。</w:t>
      </w:r>
    </w:p>
    <w:p>
      <w:pPr>
        <w:pStyle w:val="76"/>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六、询问和质疑</w:t>
      </w:r>
    </w:p>
    <w:p>
      <w:pPr>
        <w:pStyle w:val="55"/>
        <w:numPr>
          <w:ilvl w:val="0"/>
          <w:numId w:val="0"/>
        </w:numPr>
        <w:ind w:left="420" w:leftChars="200"/>
        <w:rPr>
          <w:rFonts w:hint="eastAsia"/>
          <w:b/>
          <w:sz w:val="24"/>
          <w:szCs w:val="24"/>
        </w:rPr>
      </w:pPr>
      <w:r>
        <w:rPr>
          <w:rFonts w:hint="eastAsia"/>
          <w:b/>
          <w:sz w:val="24"/>
          <w:szCs w:val="24"/>
        </w:rPr>
        <w:t>1.投标人有权就采购程序或签订合同的事宜提出质疑</w:t>
      </w:r>
    </w:p>
    <w:p>
      <w:pPr>
        <w:ind w:firstLine="480" w:firstLineChars="200"/>
        <w:rPr>
          <w:rFonts w:hint="eastAsia" w:ascii="宋体" w:hAnsi="宋体"/>
          <w:sz w:val="24"/>
        </w:rPr>
      </w:pPr>
      <w:r>
        <w:rPr>
          <w:rFonts w:hint="eastAsia" w:ascii="宋体" w:hAnsi="宋体"/>
          <w:sz w:val="24"/>
        </w:rPr>
        <w:t>1.1投标人对采购事项有疑问的，可以向采购人提出询问。</w:t>
      </w:r>
    </w:p>
    <w:p>
      <w:pPr>
        <w:ind w:firstLine="480" w:firstLineChars="200"/>
        <w:rPr>
          <w:rFonts w:hint="eastAsia"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hint="eastAsia" w:ascii="宋体" w:hAnsi="宋体"/>
          <w:sz w:val="24"/>
        </w:rPr>
      </w:pPr>
      <w:r>
        <w:rPr>
          <w:rFonts w:hint="eastAsia" w:ascii="宋体" w:hAnsi="宋体"/>
          <w:sz w:val="24"/>
        </w:rPr>
        <w:t>1.3采购人或采购人将在收到书面质疑后7个工作日内审查质疑事项，做出答复或相关处理决定，并以书面形式通知质疑投标人和其他有关供应商，但答复的内容不涉及商业秘密。如果质疑涉及采购制度或程序，将被转交</w:t>
      </w:r>
      <w:r>
        <w:rPr>
          <w:rFonts w:hint="eastAsia" w:ascii="宋体" w:hAnsi="宋体"/>
          <w:sz w:val="24"/>
          <w:lang w:eastAsia="zh-CN"/>
        </w:rPr>
        <w:t>学院</w:t>
      </w:r>
      <w:r>
        <w:rPr>
          <w:rFonts w:hint="eastAsia" w:ascii="宋体" w:hAnsi="宋体"/>
          <w:sz w:val="24"/>
        </w:rPr>
        <w:t>采购管理的上一级部门审查。</w:t>
      </w:r>
    </w:p>
    <w:p>
      <w:pPr>
        <w:ind w:firstLine="480" w:firstLineChars="200"/>
        <w:rPr>
          <w:rFonts w:hint="eastAsia"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w:t>
      </w:r>
      <w:r>
        <w:rPr>
          <w:rFonts w:hint="eastAsia" w:ascii="宋体" w:hAnsi="宋体"/>
          <w:sz w:val="24"/>
          <w:lang w:eastAsia="zh-CN"/>
        </w:rPr>
        <w:t>科文学院</w:t>
      </w:r>
      <w:r>
        <w:rPr>
          <w:rFonts w:hint="eastAsia" w:ascii="宋体" w:hAnsi="宋体"/>
          <w:sz w:val="24"/>
        </w:rPr>
        <w:t>有关监督部门投诉。</w:t>
      </w:r>
    </w:p>
    <w:p>
      <w:pPr>
        <w:pStyle w:val="76"/>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七、保密和披露</w:t>
      </w:r>
    </w:p>
    <w:p>
      <w:pPr>
        <w:ind w:firstLine="480" w:firstLineChars="200"/>
        <w:rPr>
          <w:rFonts w:hint="eastAsia" w:ascii="宋体" w:hAnsi="宋体"/>
          <w:sz w:val="24"/>
        </w:rPr>
      </w:pPr>
      <w:r>
        <w:rPr>
          <w:rFonts w:hint="eastAsia" w:ascii="宋体" w:hAnsi="宋体"/>
          <w:sz w:val="24"/>
        </w:rPr>
        <w:t>1.保密和披露</w:t>
      </w:r>
    </w:p>
    <w:p>
      <w:pPr>
        <w:ind w:firstLine="480" w:firstLineChars="200"/>
        <w:rPr>
          <w:rFonts w:hint="eastAsia"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hint="eastAsia"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76"/>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八、无效标书的判定</w:t>
      </w:r>
    </w:p>
    <w:p>
      <w:pPr>
        <w:ind w:firstLine="480" w:firstLineChars="200"/>
        <w:rPr>
          <w:rFonts w:hint="eastAsia" w:ascii="宋体" w:hAnsi="宋体"/>
          <w:sz w:val="24"/>
        </w:rPr>
      </w:pPr>
      <w:r>
        <w:rPr>
          <w:rFonts w:hint="eastAsia" w:ascii="宋体" w:hAnsi="宋体"/>
          <w:sz w:val="24"/>
        </w:rPr>
        <w:t>投标文件有下列情况之一的，应作为无效投标文件，不再参加评标：</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w:t>
      </w:r>
      <w:r>
        <w:rPr>
          <w:rFonts w:hint="eastAsia" w:ascii="宋体" w:hAnsi="宋体" w:eastAsia="宋体" w:cs="Times New Roman"/>
          <w:sz w:val="24"/>
        </w:rPr>
        <w:t>投标文件中的投标函未加盖投标人的公章的，或者企业法定代表人委托代理人没有合法、有效的委托书（原件）或委托书无委托代理人签字或印章的。</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2.</w:t>
      </w:r>
      <w:r>
        <w:rPr>
          <w:rFonts w:hint="eastAsia" w:ascii="宋体" w:hAnsi="宋体" w:eastAsia="宋体" w:cs="Times New Roman"/>
          <w:sz w:val="24"/>
        </w:rPr>
        <w:t>未按采购文件要求要求缴纳相关费用或投标保证金的。</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3.</w:t>
      </w:r>
      <w:r>
        <w:rPr>
          <w:rFonts w:hint="eastAsia" w:ascii="宋体" w:hAnsi="宋体" w:eastAsia="宋体" w:cs="Times New Roman"/>
          <w:sz w:val="24"/>
        </w:rPr>
        <w:t>未按采购文件要求编制，内容不全或关键字模糊、无法辨认的。</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4.</w:t>
      </w:r>
      <w:r>
        <w:rPr>
          <w:rFonts w:hint="eastAsia" w:ascii="宋体" w:hAnsi="宋体" w:eastAsia="宋体" w:cs="Times New Roman"/>
          <w:sz w:val="24"/>
        </w:rPr>
        <w:t>投标人名称或组织机构等与原件不一致的。</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5.</w:t>
      </w:r>
      <w:r>
        <w:rPr>
          <w:rFonts w:hint="eastAsia" w:ascii="宋体" w:hAnsi="宋体" w:eastAsia="宋体" w:cs="Times New Roman"/>
          <w:sz w:val="24"/>
        </w:rPr>
        <w:t>投标人资格条件不符合国家有关规定或采购文件要求的。</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6.</w:t>
      </w:r>
      <w:r>
        <w:rPr>
          <w:rFonts w:hint="eastAsia" w:ascii="宋体" w:hAnsi="宋体" w:eastAsia="宋体" w:cs="Times New Roman"/>
          <w:sz w:val="24"/>
        </w:rPr>
        <w:t>投标文件载明的项目完成期限超过采购文件规定的期限。</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7.</w:t>
      </w:r>
      <w:r>
        <w:rPr>
          <w:rFonts w:hint="eastAsia" w:ascii="宋体" w:hAnsi="宋体" w:eastAsia="宋体" w:cs="Times New Roman"/>
          <w:sz w:val="24"/>
        </w:rPr>
        <w:t>明显不符合技术规范、技术标准的要求。</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8.</w:t>
      </w:r>
      <w:r>
        <w:rPr>
          <w:rFonts w:hint="eastAsia" w:ascii="宋体" w:hAnsi="宋体" w:eastAsia="宋体" w:cs="Times New Roman"/>
          <w:sz w:val="24"/>
        </w:rPr>
        <w:t>投标报价超过采购文件规定的采购控制价的。</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9.</w:t>
      </w:r>
      <w:r>
        <w:rPr>
          <w:rFonts w:hint="eastAsia" w:ascii="宋体" w:hAnsi="宋体" w:eastAsia="宋体" w:cs="Times New Roman"/>
          <w:sz w:val="24"/>
        </w:rPr>
        <w:t>不同投标人的投标文件出现了评标小组认为不应当雷同的情况。</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10.</w:t>
      </w:r>
      <w:r>
        <w:rPr>
          <w:rFonts w:hint="eastAsia" w:ascii="宋体" w:hAnsi="宋体" w:eastAsia="宋体" w:cs="Times New Roman"/>
          <w:sz w:val="24"/>
        </w:rPr>
        <w:t>投标文件提出了不能满足采购文件要求或采购人不能接受的支付办法。</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11.</w:t>
      </w:r>
      <w:r>
        <w:rPr>
          <w:rFonts w:hint="eastAsia" w:ascii="宋体" w:hAnsi="宋体" w:eastAsia="宋体" w:cs="Times New Roman"/>
          <w:sz w:val="24"/>
        </w:rPr>
        <w:t>串通投标、以行贿手段谋取中标或者以其他弄虚作假方式投标的。</w:t>
      </w:r>
    </w:p>
    <w:p>
      <w:pPr>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12.</w:t>
      </w:r>
      <w:r>
        <w:rPr>
          <w:rFonts w:hint="eastAsia" w:ascii="宋体" w:hAnsi="宋体" w:eastAsia="宋体" w:cs="Times New Roman"/>
          <w:sz w:val="24"/>
        </w:rPr>
        <w:t>经评标小组认定投标人的投标报价低于成本价的。</w:t>
      </w:r>
    </w:p>
    <w:p>
      <w:pPr>
        <w:ind w:firstLine="480" w:firstLineChars="200"/>
        <w:rPr>
          <w:rFonts w:hint="eastAsia" w:ascii="宋体" w:hAnsi="宋体"/>
          <w:b/>
          <w:color w:val="000000"/>
          <w:sz w:val="24"/>
        </w:rPr>
      </w:pPr>
      <w:r>
        <w:rPr>
          <w:rFonts w:hint="eastAsia" w:ascii="宋体" w:hAnsi="宋体"/>
          <w:color w:val="FF0000"/>
          <w:sz w:val="24"/>
        </w:rPr>
        <w:t xml:space="preserve">                         </w:t>
      </w:r>
      <w:r>
        <w:rPr>
          <w:rFonts w:hint="eastAsia" w:ascii="宋体" w:hAnsi="宋体"/>
          <w:b/>
          <w:color w:val="000000"/>
          <w:sz w:val="24"/>
        </w:rPr>
        <w:t xml:space="preserve"> </w:t>
      </w:r>
    </w:p>
    <w:p>
      <w:pPr>
        <w:ind w:firstLine="482" w:firstLineChars="200"/>
        <w:jc w:val="center"/>
        <w:rPr>
          <w:rFonts w:hint="eastAsia" w:ascii="宋体" w:hAnsi="宋体"/>
          <w:b/>
          <w:color w:val="000000"/>
          <w:sz w:val="24"/>
        </w:rPr>
      </w:pPr>
      <w:r>
        <w:rPr>
          <w:rFonts w:hint="eastAsia" w:ascii="宋体" w:hAnsi="宋体"/>
          <w:b/>
          <w:color w:val="000000"/>
          <w:sz w:val="24"/>
        </w:rPr>
        <w:br w:type="page"/>
      </w:r>
      <w:r>
        <w:rPr>
          <w:rFonts w:hint="eastAsia" w:ascii="宋体" w:hAnsi="宋体"/>
          <w:b/>
          <w:color w:val="000000"/>
          <w:sz w:val="24"/>
        </w:rPr>
        <w:t>第二章  项目概况及要求</w:t>
      </w:r>
    </w:p>
    <w:p>
      <w:pPr>
        <w:ind w:firstLine="470" w:firstLineChars="196"/>
        <w:rPr>
          <w:rFonts w:hint="eastAsia" w:ascii="宋体" w:hAnsi="宋体" w:cs="楷体"/>
          <w:sz w:val="24"/>
        </w:rPr>
      </w:pPr>
      <w:r>
        <w:rPr>
          <w:rFonts w:hint="eastAsia" w:ascii="宋体" w:hAnsi="宋体" w:cs="楷体"/>
          <w:sz w:val="24"/>
        </w:rPr>
        <w:t>一、项目名称：科文学院潘安湖校区校园网运维项目</w:t>
      </w:r>
    </w:p>
    <w:p>
      <w:pPr>
        <w:ind w:firstLine="470" w:firstLineChars="196"/>
        <w:rPr>
          <w:rFonts w:hint="eastAsia" w:ascii="宋体" w:hAnsi="宋体" w:cs="楷体"/>
          <w:sz w:val="24"/>
        </w:rPr>
      </w:pPr>
      <w:r>
        <w:rPr>
          <w:rFonts w:hint="eastAsia" w:ascii="宋体" w:hAnsi="宋体" w:cs="楷体"/>
          <w:sz w:val="24"/>
        </w:rPr>
        <w:t>二、项目总预算：</w:t>
      </w:r>
      <w:r>
        <w:rPr>
          <w:rFonts w:hint="eastAsia" w:ascii="宋体" w:hAnsi="宋体" w:cs="楷体"/>
          <w:sz w:val="24"/>
          <w:lang w:val="en-US" w:eastAsia="zh-CN"/>
        </w:rPr>
        <w:t>50</w:t>
      </w:r>
      <w:r>
        <w:rPr>
          <w:rFonts w:hint="eastAsia" w:ascii="宋体" w:hAnsi="宋体" w:cs="楷体"/>
          <w:sz w:val="24"/>
        </w:rPr>
        <w:t>万元</w:t>
      </w:r>
      <w:r>
        <w:rPr>
          <w:rFonts w:hint="eastAsia" w:ascii="宋体" w:hAnsi="宋体" w:cs="楷体"/>
          <w:sz w:val="24"/>
          <w:lang w:val="en-US" w:eastAsia="zh-CN"/>
        </w:rPr>
        <w:t>/2年</w:t>
      </w:r>
      <w:r>
        <w:rPr>
          <w:rFonts w:hint="eastAsia" w:ascii="宋体" w:hAnsi="宋体" w:cs="楷体"/>
          <w:sz w:val="24"/>
        </w:rPr>
        <w:t>。</w:t>
      </w:r>
    </w:p>
    <w:p>
      <w:pPr>
        <w:ind w:firstLine="470" w:firstLineChars="196"/>
        <w:rPr>
          <w:rFonts w:hint="eastAsia" w:ascii="宋体" w:hAnsi="宋体" w:cs="楷体"/>
          <w:sz w:val="24"/>
        </w:rPr>
      </w:pPr>
      <w:r>
        <w:rPr>
          <w:rFonts w:hint="eastAsia" w:ascii="宋体" w:hAnsi="宋体" w:cs="楷体"/>
          <w:sz w:val="24"/>
        </w:rPr>
        <w:t>三、潘安湖校区校园网运维项目的技术规格、要求和数量</w:t>
      </w:r>
    </w:p>
    <w:p>
      <w:pPr>
        <w:ind w:firstLine="470" w:firstLineChars="196"/>
        <w:rPr>
          <w:rFonts w:hint="eastAsia" w:ascii="宋体" w:hAnsi="宋体" w:cs="楷体"/>
          <w:sz w:val="24"/>
        </w:rPr>
      </w:pPr>
      <w:r>
        <w:rPr>
          <w:rFonts w:hint="eastAsia" w:ascii="宋体" w:hAnsi="宋体" w:cs="楷体"/>
          <w:sz w:val="24"/>
        </w:rPr>
        <w:t>因需要，我院需对潘安湖校区校园办公网络建设内容包括接入网、汇聚网、核心网，业务网、统一认证计费系统及无线校园网等进行磋商采购。现将需求及相关事项明确如下，欢迎符合要求的投保人积极竞标。</w:t>
      </w:r>
    </w:p>
    <w:p>
      <w:pPr>
        <w:ind w:firstLine="470" w:firstLineChars="196"/>
        <w:rPr>
          <w:rFonts w:hint="eastAsia" w:ascii="宋体" w:hAnsi="宋体" w:cs="楷体"/>
          <w:sz w:val="24"/>
        </w:rPr>
      </w:pPr>
      <w:r>
        <w:rPr>
          <w:rFonts w:hint="eastAsia" w:ascii="宋体" w:hAnsi="宋体" w:cs="楷体"/>
          <w:sz w:val="24"/>
        </w:rPr>
        <w:t>四、投标人资格要求</w:t>
      </w:r>
    </w:p>
    <w:p>
      <w:pPr>
        <w:ind w:firstLine="470" w:firstLineChars="196"/>
        <w:rPr>
          <w:rFonts w:hint="eastAsia" w:ascii="宋体" w:hAnsi="宋体" w:cs="楷体"/>
          <w:sz w:val="24"/>
        </w:rPr>
      </w:pPr>
      <w:r>
        <w:rPr>
          <w:rFonts w:hint="eastAsia" w:ascii="宋体" w:hAnsi="宋体" w:cs="楷体"/>
          <w:sz w:val="24"/>
        </w:rPr>
        <w:t>见第一章</w:t>
      </w:r>
    </w:p>
    <w:p>
      <w:pPr>
        <w:ind w:firstLine="470" w:firstLineChars="196"/>
        <w:rPr>
          <w:rFonts w:hint="eastAsia" w:ascii="宋体" w:hAnsi="宋体" w:cs="楷体"/>
          <w:sz w:val="24"/>
        </w:rPr>
      </w:pPr>
      <w:r>
        <w:rPr>
          <w:rFonts w:hint="eastAsia" w:ascii="宋体" w:hAnsi="宋体" w:cs="楷体"/>
          <w:sz w:val="24"/>
        </w:rPr>
        <w:t>五、项目技术要求</w:t>
      </w:r>
    </w:p>
    <w:p>
      <w:pPr>
        <w:ind w:firstLine="470" w:firstLineChars="196"/>
        <w:rPr>
          <w:rFonts w:hint="eastAsia" w:ascii="宋体" w:hAnsi="宋体" w:eastAsia="宋体" w:cs="楷体"/>
          <w:sz w:val="24"/>
        </w:rPr>
      </w:pPr>
      <w:r>
        <w:rPr>
          <w:rFonts w:hint="eastAsia" w:ascii="宋体" w:hAnsi="宋体" w:eastAsia="宋体" w:cs="楷体"/>
          <w:sz w:val="24"/>
        </w:rPr>
        <w:t>1.</w:t>
      </w:r>
      <w:r>
        <w:rPr>
          <w:rFonts w:hint="eastAsia" w:ascii="宋体" w:hAnsi="宋体" w:eastAsia="宋体" w:cs="楷体"/>
          <w:sz w:val="24"/>
        </w:rPr>
        <w:tab/>
      </w:r>
      <w:r>
        <w:rPr>
          <w:rFonts w:hint="eastAsia" w:ascii="宋体" w:hAnsi="宋体" w:eastAsia="宋体" w:cs="楷体"/>
          <w:sz w:val="24"/>
        </w:rPr>
        <w:t>项目背景</w:t>
      </w:r>
    </w:p>
    <w:p>
      <w:pPr>
        <w:ind w:firstLine="470" w:firstLineChars="196"/>
        <w:rPr>
          <w:rFonts w:hint="eastAsia" w:ascii="宋体" w:hAnsi="宋体" w:eastAsia="宋体" w:cs="楷体"/>
          <w:sz w:val="24"/>
        </w:rPr>
      </w:pPr>
      <w:r>
        <w:rPr>
          <w:rFonts w:hint="eastAsia" w:ascii="宋体" w:hAnsi="宋体" w:eastAsia="宋体" w:cs="楷体"/>
          <w:sz w:val="24"/>
        </w:rPr>
        <w:t xml:space="preserve">江苏师范大学科文学院潘安湖校区校园办公网络建设内容包括接入网、汇聚网、核心网，业务网、统一认证计费系统及无线校园网等。已实现校园有线网络与无线网络融合统一认证、管理。随着网络规模的扩大和应用复杂度的提高，需要提高校园办公有线、无线网、业务网、中心机房的整体运维水平，确保校园网络高效、可靠、安全、有序运行。 </w:t>
      </w:r>
    </w:p>
    <w:p>
      <w:pPr>
        <w:ind w:firstLine="470" w:firstLineChars="196"/>
        <w:rPr>
          <w:rFonts w:hint="eastAsia" w:ascii="宋体" w:hAnsi="宋体" w:eastAsia="宋体" w:cs="楷体"/>
          <w:sz w:val="24"/>
        </w:rPr>
      </w:pPr>
      <w:r>
        <w:rPr>
          <w:rFonts w:hint="eastAsia" w:ascii="宋体" w:hAnsi="宋体" w:eastAsia="宋体" w:cs="楷体"/>
          <w:sz w:val="24"/>
        </w:rPr>
        <w:t>2. 网络运维服务总体目标</w:t>
      </w:r>
    </w:p>
    <w:p>
      <w:pPr>
        <w:ind w:firstLine="470" w:firstLineChars="196"/>
        <w:rPr>
          <w:rFonts w:hint="eastAsia" w:ascii="宋体" w:hAnsi="宋体" w:eastAsia="宋体" w:cs="楷体"/>
          <w:sz w:val="24"/>
        </w:rPr>
      </w:pPr>
      <w:r>
        <w:rPr>
          <w:rFonts w:hint="eastAsia" w:ascii="宋体" w:hAnsi="宋体" w:eastAsia="宋体" w:cs="楷体"/>
          <w:sz w:val="24"/>
        </w:rPr>
        <w:t>2.1 维护服务的范围</w:t>
      </w:r>
    </w:p>
    <w:p>
      <w:pPr>
        <w:ind w:firstLine="470" w:firstLineChars="196"/>
        <w:rPr>
          <w:rFonts w:hint="eastAsia" w:ascii="宋体" w:hAnsi="宋体" w:eastAsia="宋体" w:cs="楷体"/>
          <w:sz w:val="24"/>
        </w:rPr>
      </w:pPr>
      <w:r>
        <w:rPr>
          <w:rFonts w:hint="eastAsia" w:ascii="宋体" w:hAnsi="宋体" w:eastAsia="宋体" w:cs="楷体"/>
          <w:sz w:val="24"/>
        </w:rPr>
        <w:t>学院潘安湖校区的校园办公和公共区域用户及一卡通系统所涉及的相关有线、无线接入网络，包括：</w:t>
      </w:r>
    </w:p>
    <w:p>
      <w:pPr>
        <w:ind w:firstLine="470" w:firstLineChars="196"/>
        <w:rPr>
          <w:rFonts w:hint="eastAsia" w:ascii="宋体" w:hAnsi="宋体" w:eastAsia="宋体" w:cs="楷体"/>
          <w:sz w:val="24"/>
        </w:rPr>
      </w:pPr>
      <w:r>
        <w:rPr>
          <w:rFonts w:hint="eastAsia" w:ascii="宋体" w:hAnsi="宋体" w:eastAsia="宋体" w:cs="楷体"/>
          <w:sz w:val="24"/>
        </w:rPr>
        <w:t>校园办公教学区网络设备总计约1000台，潜在终端数（含移动终端）总计约4000台（部）。</w:t>
      </w:r>
    </w:p>
    <w:p>
      <w:pPr>
        <w:ind w:firstLine="470" w:firstLineChars="196"/>
        <w:rPr>
          <w:rFonts w:hint="eastAsia" w:ascii="宋体" w:hAnsi="宋体" w:eastAsia="宋体" w:cs="楷体"/>
          <w:sz w:val="24"/>
        </w:rPr>
      </w:pPr>
      <w:r>
        <w:rPr>
          <w:rFonts w:hint="eastAsia" w:ascii="宋体" w:hAnsi="宋体" w:eastAsia="宋体" w:cs="楷体"/>
          <w:sz w:val="24"/>
        </w:rPr>
        <w:t>网络中心机房位于图文信息楼一楼西侧，约700平方。包括:机柜系统、UPS系统、精密空调系统、综合布线系统等。机柜系统包含52个华为42U机柜，UPS系统采用华为 150KVA单主机配套160块电池，空调系统包含五台华为精密空调。</w:t>
      </w:r>
    </w:p>
    <w:p>
      <w:pPr>
        <w:ind w:firstLine="470" w:firstLineChars="196"/>
        <w:rPr>
          <w:rFonts w:hint="eastAsia" w:ascii="宋体" w:hAnsi="宋体" w:eastAsia="宋体" w:cs="楷体"/>
          <w:sz w:val="24"/>
        </w:rPr>
      </w:pPr>
      <w:r>
        <w:rPr>
          <w:rFonts w:hint="eastAsia" w:ascii="宋体" w:hAnsi="宋体" w:eastAsia="宋体" w:cs="楷体"/>
          <w:sz w:val="24"/>
        </w:rPr>
        <w:t>2.2 维护服务的界面及内容</w:t>
      </w:r>
    </w:p>
    <w:p>
      <w:pPr>
        <w:ind w:firstLine="470" w:firstLineChars="196"/>
        <w:rPr>
          <w:rFonts w:hint="eastAsia" w:ascii="宋体" w:hAnsi="宋体" w:eastAsia="宋体" w:cs="楷体"/>
          <w:sz w:val="24"/>
        </w:rPr>
      </w:pPr>
      <w:r>
        <w:rPr>
          <w:rFonts w:hint="eastAsia" w:ascii="宋体" w:hAnsi="宋体" w:eastAsia="宋体" w:cs="楷体"/>
          <w:sz w:val="24"/>
        </w:rPr>
        <w:t>有线网络：主要是从接入交换机端口到用户桌面的所有网络问题；</w:t>
      </w:r>
    </w:p>
    <w:p>
      <w:pPr>
        <w:ind w:firstLine="470" w:firstLineChars="196"/>
        <w:rPr>
          <w:rFonts w:hint="eastAsia" w:ascii="宋体" w:hAnsi="宋体" w:eastAsia="宋体" w:cs="楷体"/>
          <w:sz w:val="24"/>
        </w:rPr>
      </w:pPr>
      <w:r>
        <w:rPr>
          <w:rFonts w:hint="eastAsia" w:ascii="宋体" w:hAnsi="宋体" w:eastAsia="宋体" w:cs="楷体"/>
          <w:sz w:val="24"/>
        </w:rPr>
        <w:t>无线网络：主要是从PoE交换机到AP及用户端的所有网络问题；</w:t>
      </w:r>
    </w:p>
    <w:p>
      <w:pPr>
        <w:ind w:firstLine="470" w:firstLineChars="196"/>
        <w:rPr>
          <w:rFonts w:hint="eastAsia" w:ascii="宋体" w:hAnsi="宋体" w:eastAsia="宋体" w:cs="楷体"/>
          <w:sz w:val="24"/>
        </w:rPr>
      </w:pPr>
      <w:r>
        <w:rPr>
          <w:rFonts w:hint="eastAsia" w:ascii="宋体" w:hAnsi="宋体" w:eastAsia="宋体" w:cs="楷体"/>
          <w:sz w:val="24"/>
        </w:rPr>
        <w:t>一卡通系统网络：主要是从接入交换机端口到终端设备所有链路问题；</w:t>
      </w:r>
    </w:p>
    <w:p>
      <w:pPr>
        <w:ind w:firstLine="470" w:firstLineChars="196"/>
        <w:rPr>
          <w:rFonts w:hint="eastAsia" w:ascii="宋体" w:hAnsi="宋体" w:eastAsia="宋体" w:cs="楷体"/>
          <w:sz w:val="24"/>
        </w:rPr>
      </w:pPr>
      <w:r>
        <w:rPr>
          <w:rFonts w:hint="eastAsia" w:ascii="宋体" w:hAnsi="宋体" w:eastAsia="宋体" w:cs="楷体"/>
          <w:sz w:val="24"/>
        </w:rPr>
        <w:t>提供对网络中心机房的日常监控服务，设备的配线整理以及日常故障的处理，负责精密空调系统日常耗材更换；</w:t>
      </w:r>
    </w:p>
    <w:p>
      <w:pPr>
        <w:ind w:firstLine="470" w:firstLineChars="196"/>
        <w:rPr>
          <w:rFonts w:hint="eastAsia" w:ascii="宋体" w:hAnsi="宋体" w:eastAsia="宋体" w:cs="楷体"/>
          <w:sz w:val="24"/>
        </w:rPr>
      </w:pPr>
      <w:r>
        <w:rPr>
          <w:rFonts w:hint="eastAsia" w:ascii="宋体" w:hAnsi="宋体" w:eastAsia="宋体" w:cs="楷体"/>
          <w:sz w:val="24"/>
        </w:rPr>
        <w:t>对于办公用户终端桌面操作系统等方面的问题虽非义务但也应给予必要的帮助；</w:t>
      </w:r>
    </w:p>
    <w:p>
      <w:pPr>
        <w:ind w:firstLine="470" w:firstLineChars="196"/>
        <w:rPr>
          <w:rFonts w:hint="eastAsia" w:ascii="宋体" w:hAnsi="宋体" w:eastAsia="宋体" w:cs="楷体"/>
          <w:sz w:val="24"/>
        </w:rPr>
      </w:pPr>
      <w:r>
        <w:rPr>
          <w:rFonts w:hint="eastAsia" w:ascii="宋体" w:hAnsi="宋体" w:eastAsia="宋体" w:cs="楷体"/>
          <w:sz w:val="24"/>
        </w:rPr>
        <w:t>提供网络运维平台予甲方使用；</w:t>
      </w:r>
    </w:p>
    <w:p>
      <w:pPr>
        <w:ind w:firstLine="470" w:firstLineChars="196"/>
        <w:rPr>
          <w:rFonts w:hint="eastAsia" w:ascii="宋体" w:hAnsi="宋体" w:eastAsia="宋体" w:cs="楷体"/>
          <w:sz w:val="24"/>
        </w:rPr>
      </w:pPr>
      <w:r>
        <w:rPr>
          <w:rFonts w:hint="eastAsia" w:ascii="宋体" w:hAnsi="宋体" w:eastAsia="宋体" w:cs="楷体"/>
          <w:sz w:val="24"/>
        </w:rPr>
        <w:t>提供网络设备监控平台予甲方使用。</w:t>
      </w:r>
    </w:p>
    <w:p>
      <w:pPr>
        <w:ind w:firstLine="470" w:firstLineChars="196"/>
        <w:rPr>
          <w:rFonts w:hint="eastAsia" w:ascii="宋体" w:hAnsi="宋体" w:eastAsia="宋体" w:cs="楷体"/>
          <w:sz w:val="24"/>
        </w:rPr>
      </w:pPr>
      <w:r>
        <w:rPr>
          <w:rFonts w:hint="eastAsia" w:ascii="宋体" w:hAnsi="宋体" w:eastAsia="宋体" w:cs="楷体"/>
          <w:sz w:val="24"/>
        </w:rPr>
        <w:t>其他工作职责中要求的内容。</w:t>
      </w:r>
    </w:p>
    <w:p>
      <w:pPr>
        <w:ind w:firstLine="470" w:firstLineChars="196"/>
        <w:rPr>
          <w:rFonts w:hint="eastAsia" w:ascii="宋体" w:hAnsi="宋体" w:eastAsia="宋体" w:cs="楷体"/>
          <w:sz w:val="24"/>
        </w:rPr>
      </w:pPr>
      <w:r>
        <w:rPr>
          <w:rFonts w:hint="eastAsia" w:ascii="宋体" w:hAnsi="宋体" w:eastAsia="宋体" w:cs="楷体"/>
          <w:sz w:val="24"/>
        </w:rPr>
        <w:t>2.3 人员要求</w:t>
      </w:r>
    </w:p>
    <w:p>
      <w:pPr>
        <w:ind w:firstLine="470" w:firstLineChars="196"/>
        <w:rPr>
          <w:rFonts w:hint="eastAsia" w:ascii="宋体" w:hAnsi="宋体" w:eastAsia="宋体" w:cs="楷体"/>
          <w:sz w:val="24"/>
        </w:rPr>
      </w:pPr>
      <w:r>
        <w:rPr>
          <w:rFonts w:hint="eastAsia" w:ascii="宋体" w:hAnsi="宋体" w:eastAsia="宋体" w:cs="楷体"/>
          <w:sz w:val="24"/>
        </w:rPr>
        <w:t>投标单位需针对本项目组建运维团队，人员数可根据用户工作量和工作需要进行调整，驻点运维人员不得少于3人。</w:t>
      </w:r>
    </w:p>
    <w:p>
      <w:pPr>
        <w:ind w:firstLine="470" w:firstLineChars="196"/>
        <w:rPr>
          <w:rFonts w:hint="eastAsia" w:ascii="宋体" w:hAnsi="宋体" w:eastAsia="宋体" w:cs="楷体"/>
          <w:sz w:val="24"/>
        </w:rPr>
      </w:pPr>
      <w:r>
        <w:rPr>
          <w:rFonts w:hint="eastAsia" w:ascii="宋体" w:hAnsi="宋体" w:eastAsia="宋体" w:cs="楷体"/>
          <w:sz w:val="24"/>
        </w:rPr>
        <w:t>2.4 工作职责</w:t>
      </w:r>
    </w:p>
    <w:p>
      <w:pPr>
        <w:ind w:firstLine="470" w:firstLineChars="196"/>
        <w:rPr>
          <w:rFonts w:hint="eastAsia" w:ascii="宋体" w:hAnsi="宋体" w:eastAsia="宋体" w:cs="楷体"/>
          <w:sz w:val="24"/>
        </w:rPr>
      </w:pPr>
      <w:r>
        <w:rPr>
          <w:rFonts w:hint="eastAsia" w:ascii="宋体" w:hAnsi="宋体" w:eastAsia="宋体" w:cs="楷体"/>
          <w:sz w:val="24"/>
        </w:rPr>
        <w:t>运维服务人员的工作包括但不限于以下内容，投标方可根据自己的实践经验增加内容。</w:t>
      </w:r>
    </w:p>
    <w:p>
      <w:pPr>
        <w:ind w:firstLine="470" w:firstLineChars="196"/>
        <w:rPr>
          <w:rFonts w:hint="eastAsia" w:ascii="宋体" w:hAnsi="宋体" w:eastAsia="宋体" w:cs="楷体"/>
          <w:sz w:val="24"/>
        </w:rPr>
      </w:pPr>
      <w:r>
        <w:rPr>
          <w:rFonts w:hint="eastAsia" w:ascii="宋体" w:hAnsi="宋体" w:eastAsia="宋体" w:cs="楷体"/>
          <w:sz w:val="24"/>
        </w:rPr>
        <w:t>2.4.1负责受理用户的各种咨询和报修业务（通过电话、网络、上门等各种途径），及时响应并在必要时提供上门服务。承诺对报修业务做到：电话及时响应，其他2小时内响应、8小时内解决问题，确保用户顺利上网。</w:t>
      </w:r>
    </w:p>
    <w:p>
      <w:pPr>
        <w:ind w:firstLine="470" w:firstLineChars="196"/>
        <w:rPr>
          <w:rFonts w:hint="eastAsia" w:ascii="宋体" w:hAnsi="宋体" w:eastAsia="宋体" w:cs="楷体"/>
          <w:sz w:val="24"/>
        </w:rPr>
      </w:pPr>
      <w:r>
        <w:rPr>
          <w:rFonts w:hint="eastAsia" w:ascii="宋体" w:hAnsi="宋体" w:eastAsia="宋体" w:cs="楷体"/>
          <w:sz w:val="24"/>
        </w:rPr>
        <w:t>2.4.2认真做好网络维护记录，并建立相应的业务档案，并每月汇总后提交校方对应负责人。所有上门服务须填写相关联系单。</w:t>
      </w:r>
    </w:p>
    <w:p>
      <w:pPr>
        <w:ind w:firstLine="470" w:firstLineChars="196"/>
        <w:rPr>
          <w:rFonts w:hint="eastAsia" w:ascii="宋体" w:hAnsi="宋体" w:eastAsia="宋体" w:cs="楷体"/>
          <w:sz w:val="24"/>
        </w:rPr>
      </w:pPr>
      <w:r>
        <w:rPr>
          <w:rFonts w:hint="eastAsia" w:ascii="宋体" w:hAnsi="宋体" w:eastAsia="宋体" w:cs="楷体"/>
          <w:sz w:val="24"/>
        </w:rPr>
        <w:t>2.4.3负责网络通信终端线路的维护以及模块的更换。</w:t>
      </w:r>
    </w:p>
    <w:p>
      <w:pPr>
        <w:ind w:firstLine="470" w:firstLineChars="196"/>
        <w:rPr>
          <w:rFonts w:hint="eastAsia" w:ascii="宋体" w:hAnsi="宋体" w:eastAsia="宋体" w:cs="楷体"/>
          <w:sz w:val="24"/>
        </w:rPr>
      </w:pPr>
      <w:r>
        <w:rPr>
          <w:rFonts w:hint="eastAsia" w:ascii="宋体" w:hAnsi="宋体" w:eastAsia="宋体" w:cs="楷体"/>
          <w:sz w:val="24"/>
        </w:rPr>
        <w:t>2.4.4负责协助做好全校办公用户终端的上网安全防护工作，如：病毒查杀、系统漏洞修复等。</w:t>
      </w:r>
    </w:p>
    <w:p>
      <w:pPr>
        <w:ind w:firstLine="470" w:firstLineChars="196"/>
        <w:rPr>
          <w:rFonts w:hint="eastAsia" w:ascii="宋体" w:hAnsi="宋体" w:eastAsia="宋体" w:cs="楷体"/>
          <w:sz w:val="24"/>
        </w:rPr>
      </w:pPr>
      <w:r>
        <w:rPr>
          <w:rFonts w:hint="eastAsia" w:ascii="宋体" w:hAnsi="宋体" w:eastAsia="宋体" w:cs="楷体"/>
          <w:sz w:val="24"/>
        </w:rPr>
        <w:t>2.4.5熟悉学校网络的拓扑结构及常规业务流程,及时对出现的线路故障进行排查、处理。对不能或无法处理的问题迅速报告相关老师并提出自己的处理意见。</w:t>
      </w:r>
    </w:p>
    <w:p>
      <w:pPr>
        <w:ind w:firstLine="470" w:firstLineChars="196"/>
        <w:rPr>
          <w:rFonts w:hint="eastAsia" w:ascii="宋体" w:hAnsi="宋体" w:eastAsia="宋体" w:cs="楷体"/>
          <w:sz w:val="24"/>
        </w:rPr>
      </w:pPr>
      <w:r>
        <w:rPr>
          <w:rFonts w:hint="eastAsia" w:ascii="宋体" w:hAnsi="宋体" w:eastAsia="宋体" w:cs="楷体"/>
          <w:sz w:val="24"/>
        </w:rPr>
        <w:t>2.4.6对学校网络运行中出现的重大问题，投标单位及时派出相关技术人员配合相关老师进行排障工作。</w:t>
      </w:r>
    </w:p>
    <w:p>
      <w:pPr>
        <w:ind w:firstLine="470" w:firstLineChars="196"/>
        <w:rPr>
          <w:rFonts w:hint="eastAsia" w:ascii="宋体" w:hAnsi="宋体" w:eastAsia="宋体" w:cs="楷体"/>
          <w:sz w:val="24"/>
        </w:rPr>
      </w:pPr>
      <w:r>
        <w:rPr>
          <w:rFonts w:hint="eastAsia" w:ascii="宋体" w:hAnsi="宋体" w:eastAsia="宋体" w:cs="楷体"/>
          <w:sz w:val="24"/>
        </w:rPr>
        <w:t>2.4.7做好校园办公无线网日常维护工作。包括：处理无线网已发故障，定期巡检、监控无线网主设备及其配套设备。提前发现问题，尽量做到防患未然。</w:t>
      </w:r>
    </w:p>
    <w:p>
      <w:pPr>
        <w:ind w:firstLine="470" w:firstLineChars="196"/>
        <w:rPr>
          <w:rFonts w:hint="eastAsia" w:ascii="宋体" w:hAnsi="宋体" w:eastAsia="宋体" w:cs="楷体"/>
          <w:sz w:val="24"/>
        </w:rPr>
      </w:pPr>
      <w:r>
        <w:rPr>
          <w:rFonts w:hint="eastAsia" w:ascii="宋体" w:hAnsi="宋体" w:eastAsia="宋体" w:cs="楷体"/>
          <w:sz w:val="24"/>
        </w:rPr>
        <w:t>2.4.8做好校园办公无线网络巡查和优化工作，在现有设备环境下，通过新技术手段及优化工具对网络参数合理调整，从而提高无线网络质量的维护工作；因影响无线网络质量的因素不是一成不变的，网络优化应随着网络参数和环境的变化而不断进行。对于一些覆盖盲区（或盲点）需要增加设备的，应做好记录并提出相应的补盲建议。</w:t>
      </w:r>
    </w:p>
    <w:p>
      <w:pPr>
        <w:ind w:firstLine="470" w:firstLineChars="196"/>
        <w:rPr>
          <w:rFonts w:hint="eastAsia" w:ascii="宋体" w:hAnsi="宋体" w:eastAsia="宋体" w:cs="楷体"/>
          <w:sz w:val="24"/>
        </w:rPr>
      </w:pPr>
      <w:r>
        <w:rPr>
          <w:rFonts w:hint="eastAsia" w:ascii="宋体" w:hAnsi="宋体" w:eastAsia="宋体" w:cs="楷体"/>
          <w:sz w:val="24"/>
        </w:rPr>
        <w:t>2.4.9负责全校校园办公网汇聚层以下所有网络设备的日常监控、维护、保养，并按学校要求进行网络拓扑更新、系统升级、设备更换、配置备份等工作。</w:t>
      </w:r>
    </w:p>
    <w:p>
      <w:pPr>
        <w:ind w:firstLine="470" w:firstLineChars="196"/>
        <w:rPr>
          <w:rFonts w:hint="eastAsia" w:ascii="宋体" w:hAnsi="宋体" w:eastAsia="宋体" w:cs="楷体"/>
          <w:sz w:val="24"/>
        </w:rPr>
      </w:pPr>
      <w:r>
        <w:rPr>
          <w:rFonts w:hint="eastAsia" w:ascii="宋体" w:hAnsi="宋体" w:eastAsia="宋体" w:cs="楷体"/>
          <w:sz w:val="24"/>
        </w:rPr>
        <w:t>2.4.10定期对全校办公网接入设备间进行巡检工作，并按照要求做好记录；利用每年寒暑假期的较长时间段对设备间的所有网络设备作例行的运行维保、设备除尘等工作；</w:t>
      </w:r>
    </w:p>
    <w:p>
      <w:pPr>
        <w:ind w:firstLine="470" w:firstLineChars="196"/>
        <w:rPr>
          <w:rFonts w:hint="eastAsia" w:ascii="宋体" w:hAnsi="宋体" w:eastAsia="宋体" w:cs="楷体"/>
          <w:sz w:val="24"/>
        </w:rPr>
      </w:pPr>
      <w:r>
        <w:rPr>
          <w:rFonts w:hint="eastAsia" w:ascii="宋体" w:hAnsi="宋体" w:eastAsia="宋体" w:cs="楷体"/>
          <w:sz w:val="24"/>
        </w:rPr>
        <w:t>2.4.11定期检查重要机房的空调及UPS等设备的运行情况，按要求做好记录，发现问题及时告知网络中心相关人员。</w:t>
      </w:r>
    </w:p>
    <w:p>
      <w:pPr>
        <w:ind w:firstLine="470" w:firstLineChars="196"/>
        <w:rPr>
          <w:rFonts w:hint="eastAsia" w:ascii="宋体" w:hAnsi="宋体" w:eastAsia="宋体" w:cs="楷体"/>
          <w:sz w:val="24"/>
        </w:rPr>
      </w:pPr>
      <w:r>
        <w:rPr>
          <w:rFonts w:hint="eastAsia" w:ascii="宋体" w:hAnsi="宋体" w:eastAsia="宋体" w:cs="楷体"/>
          <w:sz w:val="24"/>
        </w:rPr>
        <w:t>2.4.12 定期对中心网络机房内精密空调的耗材进行更换。</w:t>
      </w:r>
    </w:p>
    <w:p>
      <w:pPr>
        <w:ind w:firstLine="470" w:firstLineChars="196"/>
        <w:rPr>
          <w:rFonts w:hint="eastAsia" w:ascii="宋体" w:hAnsi="宋体" w:eastAsia="宋体" w:cs="楷体"/>
          <w:sz w:val="24"/>
        </w:rPr>
      </w:pPr>
      <w:r>
        <w:rPr>
          <w:rFonts w:hint="eastAsia" w:ascii="宋体" w:hAnsi="宋体" w:eastAsia="宋体" w:cs="楷体"/>
          <w:sz w:val="24"/>
        </w:rPr>
        <w:t>2.5  运维人员工作要求</w:t>
      </w:r>
    </w:p>
    <w:p>
      <w:pPr>
        <w:ind w:firstLine="470" w:firstLineChars="196"/>
        <w:rPr>
          <w:rFonts w:hint="eastAsia" w:ascii="宋体" w:hAnsi="宋体" w:eastAsia="宋体" w:cs="楷体"/>
          <w:sz w:val="24"/>
        </w:rPr>
      </w:pPr>
      <w:r>
        <w:rPr>
          <w:rFonts w:hint="eastAsia" w:ascii="宋体" w:hAnsi="宋体" w:eastAsia="宋体" w:cs="楷体"/>
          <w:sz w:val="24"/>
        </w:rPr>
        <w:t>校方及相关网络运营商指定学校信息网络中心作为投标方组成运维团队的联系、指导、管理单位。投标方运维团队的运维人员须做到：</w:t>
      </w:r>
    </w:p>
    <w:p>
      <w:pPr>
        <w:ind w:firstLine="470" w:firstLineChars="196"/>
        <w:rPr>
          <w:rFonts w:hint="eastAsia" w:ascii="宋体" w:hAnsi="宋体" w:eastAsia="宋体" w:cs="楷体"/>
          <w:sz w:val="24"/>
        </w:rPr>
      </w:pPr>
      <w:r>
        <w:rPr>
          <w:rFonts w:hint="eastAsia" w:ascii="宋体" w:hAnsi="宋体" w:eastAsia="宋体" w:cs="楷体"/>
          <w:sz w:val="24"/>
        </w:rPr>
        <w:t>2.5.1业务指导及绩效考核由信息网络中心负责，以学期为单位每年两次（运维团队内部的绩效考核每月一次，并将结果向校方备案）；对于考评不合格的运维人员中标方须按校方的要求及时调换合格人员。</w:t>
      </w:r>
    </w:p>
    <w:p>
      <w:pPr>
        <w:ind w:firstLine="470" w:firstLineChars="196"/>
        <w:rPr>
          <w:rFonts w:hint="eastAsia" w:ascii="宋体" w:hAnsi="宋体" w:eastAsia="宋体" w:cs="楷体"/>
          <w:sz w:val="24"/>
        </w:rPr>
      </w:pPr>
      <w:r>
        <w:rPr>
          <w:rFonts w:hint="eastAsia" w:ascii="宋体" w:hAnsi="宋体" w:eastAsia="宋体" w:cs="楷体"/>
          <w:sz w:val="24"/>
        </w:rPr>
        <w:t>2.5.2具备一定的有线、无线网络基础知识，熟悉用户常用的计算机操作系统，能帮助用户排除常见的网络故障。</w:t>
      </w:r>
    </w:p>
    <w:p>
      <w:pPr>
        <w:ind w:firstLine="470" w:firstLineChars="196"/>
        <w:rPr>
          <w:rFonts w:hint="eastAsia" w:ascii="宋体" w:hAnsi="宋体" w:eastAsia="宋体" w:cs="楷体"/>
          <w:sz w:val="24"/>
        </w:rPr>
      </w:pPr>
      <w:r>
        <w:rPr>
          <w:rFonts w:hint="eastAsia" w:ascii="宋体" w:hAnsi="宋体" w:eastAsia="宋体" w:cs="楷体"/>
          <w:sz w:val="24"/>
        </w:rPr>
        <w:t>2.5.3有校园网的运维经验，驻点服务的运维人员具备主流网络设备的调试能力。</w:t>
      </w:r>
    </w:p>
    <w:p>
      <w:pPr>
        <w:ind w:firstLine="470" w:firstLineChars="196"/>
        <w:rPr>
          <w:rFonts w:hint="eastAsia" w:ascii="宋体" w:hAnsi="宋体" w:eastAsia="宋体" w:cs="楷体"/>
          <w:sz w:val="24"/>
        </w:rPr>
      </w:pPr>
      <w:r>
        <w:rPr>
          <w:rFonts w:hint="eastAsia" w:ascii="宋体" w:hAnsi="宋体" w:eastAsia="宋体" w:cs="楷体"/>
          <w:sz w:val="24"/>
        </w:rPr>
        <w:t>2.5.4运维人员必须严格遵守学校制定的各项规章制度和劳动纪律，能充分体现是代表校方在行使网络维护权力。</w:t>
      </w:r>
    </w:p>
    <w:p>
      <w:pPr>
        <w:ind w:firstLine="470" w:firstLineChars="196"/>
        <w:rPr>
          <w:rFonts w:hint="eastAsia" w:ascii="宋体" w:hAnsi="宋体" w:eastAsia="宋体" w:cs="楷体"/>
          <w:sz w:val="24"/>
        </w:rPr>
      </w:pPr>
      <w:r>
        <w:rPr>
          <w:rFonts w:hint="eastAsia" w:ascii="宋体" w:hAnsi="宋体" w:eastAsia="宋体" w:cs="楷体"/>
          <w:sz w:val="24"/>
        </w:rPr>
        <w:t>2.5.5遵守学校作息时间，正常工作时间(周一到周五)运维人员必须在岗，晚上、双休日及节假日工作人员可以轮值，具体值班以校方根据实际情况安排为准。</w:t>
      </w:r>
    </w:p>
    <w:p>
      <w:pPr>
        <w:ind w:firstLine="470" w:firstLineChars="196"/>
        <w:rPr>
          <w:rFonts w:hint="eastAsia" w:ascii="宋体" w:hAnsi="宋体" w:eastAsia="宋体" w:cs="楷体"/>
          <w:sz w:val="24"/>
        </w:rPr>
      </w:pPr>
      <w:r>
        <w:rPr>
          <w:rFonts w:hint="eastAsia" w:ascii="宋体" w:hAnsi="宋体" w:eastAsia="宋体" w:cs="楷体"/>
          <w:sz w:val="24"/>
        </w:rPr>
        <w:t>2.5.6运维人员工作态度认真，对用户服务热情、周到，工作中能听从校方的管理和安排。</w:t>
      </w:r>
    </w:p>
    <w:p>
      <w:pPr>
        <w:ind w:firstLine="470" w:firstLineChars="196"/>
        <w:rPr>
          <w:rFonts w:hint="eastAsia" w:ascii="宋体" w:hAnsi="宋体" w:eastAsia="宋体" w:cs="楷体"/>
          <w:sz w:val="24"/>
        </w:rPr>
      </w:pPr>
      <w:r>
        <w:rPr>
          <w:rFonts w:hint="eastAsia" w:ascii="宋体" w:hAnsi="宋体" w:eastAsia="宋体" w:cs="楷体"/>
          <w:sz w:val="24"/>
        </w:rPr>
        <w:t>2.5.7对机房以及工作场所进行定期的打扫，保证日常的环境整洁。</w:t>
      </w:r>
    </w:p>
    <w:p>
      <w:pPr>
        <w:ind w:firstLine="470" w:firstLineChars="196"/>
        <w:rPr>
          <w:rFonts w:hint="eastAsia" w:ascii="宋体" w:hAnsi="宋体" w:eastAsia="宋体" w:cs="楷体"/>
          <w:sz w:val="24"/>
        </w:rPr>
      </w:pPr>
      <w:r>
        <w:rPr>
          <w:rFonts w:hint="eastAsia" w:ascii="宋体" w:hAnsi="宋体" w:eastAsia="宋体" w:cs="楷体"/>
          <w:sz w:val="24"/>
        </w:rPr>
        <w:t>2.5.8遵守保密制度，做好校内网络资料的保密工作。</w:t>
      </w:r>
    </w:p>
    <w:p>
      <w:pPr>
        <w:ind w:firstLine="470" w:firstLineChars="196"/>
        <w:rPr>
          <w:rFonts w:hint="eastAsia" w:ascii="宋体" w:hAnsi="宋体" w:eastAsia="宋体" w:cs="楷体"/>
          <w:sz w:val="24"/>
        </w:rPr>
      </w:pPr>
      <w:r>
        <w:rPr>
          <w:rFonts w:hint="eastAsia" w:ascii="宋体" w:hAnsi="宋体" w:eastAsia="宋体" w:cs="楷体"/>
          <w:sz w:val="24"/>
        </w:rPr>
        <w:t>2.5.9指定1名技术骨干作为维护技术主管，与学校相关责任老师及时沟通，做到每周进行一次例行沟通，总结本周工作情况，讨论疑难问题的解决方案并书面汇报每周所发生的具体运维事件和解决办法。</w:t>
      </w:r>
    </w:p>
    <w:p>
      <w:pPr>
        <w:ind w:firstLine="470" w:firstLineChars="196"/>
        <w:rPr>
          <w:rFonts w:hint="eastAsia" w:ascii="宋体" w:hAnsi="宋体" w:eastAsia="宋体" w:cs="楷体"/>
          <w:sz w:val="24"/>
        </w:rPr>
      </w:pPr>
      <w:r>
        <w:rPr>
          <w:rFonts w:hint="eastAsia" w:ascii="宋体" w:hAnsi="宋体" w:eastAsia="宋体" w:cs="楷体"/>
          <w:sz w:val="24"/>
        </w:rPr>
        <w:t>2.5.10积极参加校方组织的统一培训、总结会议，定期、及时将运营情况向公司和学校汇报，做好与学校老师的工作交流、协调与配合，以便工作流程顺畅。</w:t>
      </w:r>
    </w:p>
    <w:p>
      <w:pPr>
        <w:ind w:firstLine="470" w:firstLineChars="196"/>
        <w:rPr>
          <w:rFonts w:hint="eastAsia" w:ascii="宋体" w:hAnsi="宋体" w:eastAsia="宋体" w:cs="楷体"/>
          <w:sz w:val="24"/>
        </w:rPr>
      </w:pPr>
      <w:r>
        <w:rPr>
          <w:rFonts w:hint="eastAsia" w:ascii="宋体" w:hAnsi="宋体" w:eastAsia="宋体" w:cs="楷体"/>
          <w:sz w:val="24"/>
        </w:rPr>
        <w:t>2.6文件资料管理</w:t>
      </w:r>
    </w:p>
    <w:p>
      <w:pPr>
        <w:ind w:firstLine="470" w:firstLineChars="196"/>
        <w:rPr>
          <w:rFonts w:hint="eastAsia" w:ascii="宋体" w:hAnsi="宋体" w:eastAsia="宋体" w:cs="楷体"/>
          <w:sz w:val="24"/>
        </w:rPr>
      </w:pPr>
      <w:r>
        <w:rPr>
          <w:rFonts w:hint="eastAsia" w:ascii="宋体" w:hAnsi="宋体" w:eastAsia="宋体" w:cs="楷体"/>
          <w:sz w:val="24"/>
        </w:rPr>
        <w:t>2.6.1认真做好每日用户服务记录，按要求及时向校方提交运维周报、月报及年报；</w:t>
      </w:r>
    </w:p>
    <w:p>
      <w:pPr>
        <w:ind w:firstLine="470" w:firstLineChars="196"/>
        <w:rPr>
          <w:rFonts w:hint="eastAsia" w:ascii="宋体" w:hAnsi="宋体" w:eastAsia="宋体" w:cs="楷体"/>
          <w:sz w:val="24"/>
        </w:rPr>
      </w:pPr>
      <w:r>
        <w:rPr>
          <w:rFonts w:hint="eastAsia" w:ascii="宋体" w:hAnsi="宋体" w:eastAsia="宋体" w:cs="楷体"/>
          <w:sz w:val="24"/>
        </w:rPr>
        <w:t>2.6.2定期对网络设备管理表、设备IP表、配线架表、设备拓扑图、设备图片，设备配置表等资料进行整理、汇总。</w:t>
      </w:r>
    </w:p>
    <w:p>
      <w:pPr>
        <w:ind w:firstLine="470" w:firstLineChars="196"/>
        <w:rPr>
          <w:rFonts w:hint="eastAsia" w:ascii="宋体" w:hAnsi="宋体" w:eastAsia="宋体" w:cs="楷体"/>
          <w:sz w:val="24"/>
        </w:rPr>
      </w:pPr>
      <w:r>
        <w:rPr>
          <w:rFonts w:hint="eastAsia" w:ascii="宋体" w:hAnsi="宋体" w:eastAsia="宋体" w:cs="楷体"/>
          <w:sz w:val="24"/>
        </w:rPr>
        <w:t>2.7</w:t>
      </w:r>
      <w:r>
        <w:rPr>
          <w:rFonts w:hint="eastAsia" w:ascii="宋体" w:hAnsi="宋体" w:eastAsia="宋体" w:cs="楷体"/>
          <w:sz w:val="24"/>
        </w:rPr>
        <w:tab/>
      </w:r>
      <w:r>
        <w:rPr>
          <w:rFonts w:hint="eastAsia" w:ascii="宋体" w:hAnsi="宋体" w:eastAsia="宋体" w:cs="楷体"/>
          <w:sz w:val="24"/>
        </w:rPr>
        <w:t>服务态度</w:t>
      </w:r>
    </w:p>
    <w:p>
      <w:pPr>
        <w:ind w:firstLine="470" w:firstLineChars="196"/>
        <w:rPr>
          <w:rFonts w:hint="eastAsia" w:ascii="宋体" w:hAnsi="宋体" w:eastAsia="宋体" w:cs="楷体"/>
          <w:sz w:val="24"/>
        </w:rPr>
      </w:pPr>
      <w:r>
        <w:rPr>
          <w:rFonts w:hint="eastAsia" w:ascii="宋体" w:hAnsi="宋体" w:eastAsia="宋体" w:cs="楷体"/>
          <w:sz w:val="24"/>
        </w:rPr>
        <w:t>2.7.1做到待人执情、诚恳礼貌、言行雅正，举止文明。</w:t>
      </w:r>
    </w:p>
    <w:p>
      <w:pPr>
        <w:ind w:firstLine="470" w:firstLineChars="196"/>
        <w:rPr>
          <w:rFonts w:hint="eastAsia" w:ascii="宋体" w:hAnsi="宋体" w:eastAsia="宋体" w:cs="楷体"/>
          <w:sz w:val="24"/>
        </w:rPr>
      </w:pPr>
      <w:r>
        <w:rPr>
          <w:rFonts w:hint="eastAsia" w:ascii="宋体" w:hAnsi="宋体" w:eastAsia="宋体" w:cs="楷体"/>
          <w:sz w:val="24"/>
        </w:rPr>
        <w:t>2.7.2接电话时首先要问“你好”，挂电话前要说“再见”，通话过程中要保持专注倾听，并及时给予对方反馈，要热情、耐心、细致，做好沟通协调。</w:t>
      </w:r>
    </w:p>
    <w:p>
      <w:pPr>
        <w:ind w:firstLine="470" w:firstLineChars="196"/>
        <w:rPr>
          <w:rFonts w:hint="eastAsia" w:ascii="宋体" w:hAnsi="宋体" w:eastAsia="宋体" w:cs="楷体"/>
          <w:sz w:val="24"/>
        </w:rPr>
      </w:pPr>
      <w:r>
        <w:rPr>
          <w:rFonts w:hint="eastAsia" w:ascii="宋体" w:hAnsi="宋体" w:eastAsia="宋体" w:cs="楷体"/>
          <w:sz w:val="24"/>
        </w:rPr>
        <w:t>2.7.3上门为服务对象提供服务前，必须做好相关准备工作，包括信息收集、备件、工具、证件以及预约时间等。尽量做到一次性服务完结，避免返工费时；上门服务时要先敲门，得到许可后方可进门。进门后主动递验证件、说明来意，并在得到允许后方可操作用户计算机；服务结束后，要主动递上“服务处理单”，请用户签字确认。</w:t>
      </w:r>
    </w:p>
    <w:p>
      <w:pPr>
        <w:ind w:firstLine="470" w:firstLineChars="196"/>
        <w:rPr>
          <w:rFonts w:hint="eastAsia" w:ascii="宋体" w:hAnsi="宋体" w:eastAsia="宋体" w:cs="楷体"/>
          <w:sz w:val="24"/>
        </w:rPr>
      </w:pPr>
      <w:r>
        <w:rPr>
          <w:rFonts w:hint="eastAsia" w:ascii="宋体" w:hAnsi="宋体" w:eastAsia="宋体" w:cs="楷体"/>
          <w:sz w:val="24"/>
        </w:rPr>
        <w:t>2.7.4如有用户投诉，应保持平和语调，稳定服务对象情绪，耐心解释，避免直接回绝。对范围内的问题要协调尽快解决，对于超出服务范围的要求，也要予以劝慰、说服。</w:t>
      </w:r>
    </w:p>
    <w:p>
      <w:pPr>
        <w:ind w:firstLine="470" w:firstLineChars="196"/>
        <w:rPr>
          <w:rFonts w:hint="eastAsia" w:ascii="宋体" w:hAnsi="宋体" w:eastAsia="宋体" w:cs="楷体"/>
          <w:sz w:val="24"/>
        </w:rPr>
      </w:pPr>
      <w:r>
        <w:rPr>
          <w:rFonts w:hint="eastAsia" w:ascii="宋体" w:hAnsi="宋体" w:eastAsia="宋体" w:cs="楷体"/>
          <w:sz w:val="24"/>
        </w:rPr>
        <w:t>2.7.5运维人员不应向用户过度承诺，属职责权限之外的事项要及时报请领导决定，对于紧急状况，可直接向校方联系人反映。</w:t>
      </w:r>
    </w:p>
    <w:p>
      <w:pPr>
        <w:ind w:firstLine="470" w:firstLineChars="196"/>
        <w:rPr>
          <w:rFonts w:hint="eastAsia" w:ascii="宋体" w:hAnsi="宋体" w:eastAsia="宋体" w:cs="楷体"/>
          <w:sz w:val="24"/>
        </w:rPr>
      </w:pPr>
      <w:r>
        <w:rPr>
          <w:rFonts w:hint="eastAsia" w:ascii="宋体" w:hAnsi="宋体" w:eastAsia="宋体" w:cs="楷体"/>
          <w:sz w:val="24"/>
        </w:rPr>
        <w:t>2.7.6运维人员应定期巡检各设备机房，确保机房内走线规范、无缠绕、无脱落、无接头；标签齐全、清晰，电源线应与信号线缆分开布放,避免在同一线束内。设备干净整洁，滤网清洁无灰尘，设备标识清晰，指示灯正常。</w:t>
      </w:r>
    </w:p>
    <w:p>
      <w:pPr>
        <w:ind w:firstLine="470" w:firstLineChars="196"/>
        <w:rPr>
          <w:rFonts w:hint="eastAsia" w:ascii="宋体" w:hAnsi="宋体" w:eastAsia="宋体" w:cs="楷体"/>
          <w:sz w:val="24"/>
        </w:rPr>
      </w:pPr>
      <w:r>
        <w:rPr>
          <w:rFonts w:hint="eastAsia" w:ascii="宋体" w:hAnsi="宋体" w:eastAsia="宋体" w:cs="楷体"/>
          <w:sz w:val="24"/>
        </w:rPr>
        <w:t>2.7.7维护管理过程中，机房巡检、设备优化、故障排除、桌面服务等均要形成书面记录和电子文档，除维护团队保存外，也应向校方交付一份副本保存备查。</w:t>
      </w:r>
    </w:p>
    <w:p>
      <w:pPr>
        <w:ind w:firstLine="470" w:firstLineChars="196"/>
        <w:rPr>
          <w:rFonts w:hint="eastAsia" w:ascii="宋体" w:hAnsi="宋体" w:eastAsia="宋体" w:cs="楷体"/>
          <w:sz w:val="24"/>
        </w:rPr>
      </w:pPr>
      <w:r>
        <w:rPr>
          <w:rFonts w:hint="eastAsia" w:ascii="宋体" w:hAnsi="宋体" w:eastAsia="宋体" w:cs="楷体"/>
          <w:sz w:val="24"/>
        </w:rPr>
        <w:t>2.7.8秉持微笑服务理念，善待每一位网络用户。</w:t>
      </w:r>
    </w:p>
    <w:p>
      <w:pPr>
        <w:ind w:firstLine="470" w:firstLineChars="196"/>
        <w:rPr>
          <w:rFonts w:hint="eastAsia" w:ascii="宋体" w:hAnsi="宋体" w:eastAsia="宋体" w:cs="楷体"/>
          <w:sz w:val="24"/>
        </w:rPr>
      </w:pPr>
      <w:r>
        <w:rPr>
          <w:rFonts w:hint="eastAsia" w:ascii="宋体" w:hAnsi="宋体" w:eastAsia="宋体" w:cs="楷体"/>
          <w:sz w:val="24"/>
        </w:rPr>
        <w:t>2.8</w:t>
      </w:r>
      <w:r>
        <w:rPr>
          <w:rFonts w:hint="eastAsia" w:ascii="宋体" w:hAnsi="宋体" w:eastAsia="宋体" w:cs="楷体"/>
          <w:sz w:val="24"/>
        </w:rPr>
        <w:tab/>
      </w:r>
      <w:r>
        <w:rPr>
          <w:rFonts w:hint="eastAsia" w:ascii="宋体" w:hAnsi="宋体" w:eastAsia="宋体" w:cs="楷体"/>
          <w:sz w:val="24"/>
        </w:rPr>
        <w:t>其他要求</w:t>
      </w:r>
    </w:p>
    <w:p>
      <w:pPr>
        <w:ind w:firstLine="470" w:firstLineChars="196"/>
        <w:rPr>
          <w:rFonts w:hint="eastAsia" w:ascii="宋体" w:hAnsi="宋体" w:eastAsia="宋体" w:cs="楷体"/>
          <w:sz w:val="24"/>
        </w:rPr>
      </w:pPr>
      <w:r>
        <w:rPr>
          <w:rFonts w:hint="eastAsia" w:ascii="宋体" w:hAnsi="宋体" w:eastAsia="宋体" w:cs="楷体"/>
          <w:sz w:val="24"/>
        </w:rPr>
        <w:t>2.8.1校方设置校园办公网维护服务投诉电话和邮箱，接受用户对网络运维服务的相关投诉，校方经核实后依每一有效投诉从运维服务款中扣除200元。</w:t>
      </w:r>
    </w:p>
    <w:p>
      <w:pPr>
        <w:ind w:firstLine="470" w:firstLineChars="196"/>
        <w:rPr>
          <w:rFonts w:hint="eastAsia" w:ascii="宋体" w:hAnsi="宋体" w:eastAsia="宋体" w:cs="楷体"/>
          <w:sz w:val="24"/>
        </w:rPr>
      </w:pPr>
      <w:r>
        <w:rPr>
          <w:rFonts w:hint="eastAsia" w:ascii="宋体" w:hAnsi="宋体" w:eastAsia="宋体" w:cs="楷体"/>
          <w:sz w:val="24"/>
        </w:rPr>
        <w:t>2.8.2校方设立必要的服务监督机制，制定相应的服务评价标准，依照此标准为投标方评出服务等级（如：优、良、中、差等）。等级为“良”以上方可全额支付运维服务款。</w:t>
      </w:r>
    </w:p>
    <w:p>
      <w:pPr>
        <w:ind w:firstLine="470" w:firstLineChars="196"/>
        <w:rPr>
          <w:rFonts w:hint="eastAsia" w:ascii="宋体" w:hAnsi="宋体" w:eastAsia="宋体" w:cs="楷体"/>
          <w:sz w:val="24"/>
        </w:rPr>
      </w:pPr>
      <w:r>
        <w:rPr>
          <w:rFonts w:hint="eastAsia" w:ascii="宋体" w:hAnsi="宋体" w:eastAsia="宋体" w:cs="楷体"/>
          <w:sz w:val="24"/>
        </w:rPr>
        <w:t>2.8.3投标方须经常对运维服务人员就职业道德、业务技能、服务态度等进行全方位的培训和提升，并按照国家法律法规对服务人员提供相应的社会保障。</w:t>
      </w:r>
    </w:p>
    <w:p>
      <w:pPr>
        <w:ind w:firstLine="470" w:firstLineChars="196"/>
        <w:rPr>
          <w:rFonts w:hint="eastAsia" w:ascii="宋体" w:hAnsi="宋体" w:eastAsia="宋体" w:cs="楷体"/>
          <w:sz w:val="24"/>
        </w:rPr>
      </w:pPr>
      <w:r>
        <w:rPr>
          <w:rFonts w:hint="eastAsia" w:ascii="宋体" w:hAnsi="宋体" w:eastAsia="宋体" w:cs="楷体"/>
          <w:sz w:val="24"/>
        </w:rPr>
        <w:t>2.8.4投标方维护团队须配备必要的网络维护工具，包括铝合金折梯、笔记本电脑、基础的网络检测工具等。按网络维护需要，水晶头及零散跳线等备件由投标方免费提供，光纤模块、交换机、路由器等设备及配件按照实际需要由校方提供。</w:t>
      </w:r>
    </w:p>
    <w:p>
      <w:pPr>
        <w:ind w:firstLine="470" w:firstLineChars="196"/>
        <w:rPr>
          <w:rFonts w:hint="eastAsia" w:ascii="宋体" w:hAnsi="宋体" w:cs="楷体"/>
          <w:sz w:val="24"/>
        </w:rPr>
      </w:pPr>
    </w:p>
    <w:p>
      <w:pPr>
        <w:rPr>
          <w:rFonts w:hint="eastAsia" w:ascii="宋体" w:hAnsi="宋体"/>
          <w:sz w:val="24"/>
        </w:rPr>
      </w:pPr>
    </w:p>
    <w:p>
      <w:pPr>
        <w:ind w:firstLine="2638" w:firstLineChars="1095"/>
        <w:rPr>
          <w:rFonts w:hint="eastAsia" w:ascii="宋体" w:hAnsi="宋体"/>
          <w:b/>
          <w:bCs/>
          <w:kern w:val="0"/>
          <w:sz w:val="24"/>
        </w:rPr>
      </w:pPr>
      <w:r>
        <w:rPr>
          <w:rFonts w:hint="eastAsia" w:ascii="宋体" w:hAnsi="宋体"/>
          <w:b/>
          <w:bCs/>
          <w:kern w:val="0"/>
          <w:sz w:val="24"/>
        </w:rPr>
        <w:br w:type="page"/>
      </w:r>
      <w:r>
        <w:rPr>
          <w:rFonts w:hint="eastAsia" w:ascii="宋体" w:hAnsi="宋体"/>
          <w:b/>
          <w:bCs/>
          <w:kern w:val="0"/>
          <w:sz w:val="24"/>
        </w:rPr>
        <w:t>第三章    投标文件格式</w:t>
      </w:r>
    </w:p>
    <w:p>
      <w:pPr>
        <w:ind w:firstLine="482" w:firstLineChars="200"/>
        <w:rPr>
          <w:rFonts w:hint="eastAsia" w:ascii="宋体" w:hAnsi="宋体"/>
          <w:b/>
          <w:bCs/>
          <w:kern w:val="0"/>
          <w:sz w:val="24"/>
        </w:rPr>
      </w:pPr>
      <w:r>
        <w:rPr>
          <w:rFonts w:hint="eastAsia" w:ascii="宋体" w:hAnsi="宋体"/>
          <w:b/>
          <w:sz w:val="24"/>
        </w:rPr>
        <w:t xml:space="preserve">   投标人提交文件须知：</w:t>
      </w:r>
    </w:p>
    <w:p>
      <w:pPr>
        <w:pStyle w:val="55"/>
        <w:numPr>
          <w:ilvl w:val="0"/>
          <w:numId w:val="0"/>
        </w:numPr>
        <w:ind w:firstLine="480" w:firstLineChars="200"/>
        <w:rPr>
          <w:rFonts w:hint="eastAsia"/>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55"/>
        <w:numPr>
          <w:ilvl w:val="0"/>
          <w:numId w:val="0"/>
        </w:numPr>
        <w:ind w:firstLine="480" w:firstLineChars="200"/>
        <w:rPr>
          <w:rFonts w:hint="eastAsia"/>
          <w:sz w:val="24"/>
          <w:szCs w:val="24"/>
        </w:rPr>
      </w:pPr>
      <w:r>
        <w:rPr>
          <w:rFonts w:hint="eastAsia"/>
          <w:sz w:val="24"/>
          <w:szCs w:val="24"/>
        </w:rPr>
        <w:t>2.所附表格中要求回答的全部问题和信息都必须正面回答。</w:t>
      </w:r>
    </w:p>
    <w:p>
      <w:pPr>
        <w:pStyle w:val="55"/>
        <w:numPr>
          <w:ilvl w:val="0"/>
          <w:numId w:val="0"/>
        </w:numPr>
        <w:ind w:firstLine="480" w:firstLineChars="200"/>
        <w:rPr>
          <w:rFonts w:hint="eastAsia"/>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55"/>
        <w:numPr>
          <w:ilvl w:val="0"/>
          <w:numId w:val="0"/>
        </w:numPr>
        <w:rPr>
          <w:rFonts w:hint="eastAsia"/>
          <w:b/>
          <w:sz w:val="24"/>
          <w:szCs w:val="24"/>
        </w:rPr>
      </w:pPr>
      <w:r>
        <w:rPr>
          <w:rFonts w:hint="eastAsia"/>
          <w:b/>
          <w:sz w:val="24"/>
          <w:szCs w:val="24"/>
        </w:rPr>
        <w:br w:type="page"/>
      </w:r>
      <w:r>
        <w:rPr>
          <w:rFonts w:hint="eastAsia"/>
          <w:b/>
          <w:sz w:val="24"/>
          <w:szCs w:val="24"/>
        </w:rPr>
        <w:t>(一)投标函</w:t>
      </w:r>
    </w:p>
    <w:p>
      <w:pPr>
        <w:pStyle w:val="69"/>
        <w:adjustRightInd/>
        <w:rPr>
          <w:rFonts w:hint="eastAsia"/>
          <w:kern w:val="2"/>
          <w:sz w:val="24"/>
          <w:szCs w:val="24"/>
        </w:rPr>
      </w:pPr>
      <w:r>
        <w:rPr>
          <w:rFonts w:hint="eastAsia"/>
          <w:kern w:val="2"/>
          <w:sz w:val="24"/>
          <w:szCs w:val="24"/>
          <w:u w:val="single"/>
        </w:rPr>
        <w:t>江苏师范大学</w:t>
      </w:r>
      <w:r>
        <w:rPr>
          <w:rFonts w:hint="eastAsia"/>
          <w:kern w:val="2"/>
          <w:sz w:val="24"/>
          <w:szCs w:val="24"/>
          <w:u w:val="single"/>
          <w:lang w:eastAsia="zh-CN"/>
        </w:rPr>
        <w:t>科文学院</w:t>
      </w:r>
      <w:r>
        <w:rPr>
          <w:rFonts w:hint="eastAsia"/>
          <w:kern w:val="2"/>
          <w:sz w:val="24"/>
          <w:szCs w:val="24"/>
        </w:rPr>
        <w:t>：</w:t>
      </w:r>
    </w:p>
    <w:p>
      <w:pPr>
        <w:widowControl/>
        <w:ind w:firstLine="480" w:firstLineChars="200"/>
        <w:jc w:val="left"/>
        <w:rPr>
          <w:rFonts w:hint="eastAsia"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 xml:space="preserve">(项目名称、项目编号)采购的有关活动，并对此项目进行投标，投标总价为： </w:t>
      </w:r>
      <w:r>
        <w:rPr>
          <w:rFonts w:ascii="宋体" w:hAnsi="宋体"/>
          <w:sz w:val="24"/>
        </w:rPr>
        <w:t xml:space="preserve">    </w:t>
      </w:r>
      <w:r>
        <w:rPr>
          <w:rFonts w:hint="eastAsia" w:ascii="宋体" w:hAnsi="宋体"/>
          <w:sz w:val="24"/>
        </w:rPr>
        <w:t xml:space="preserve">元（大写： </w:t>
      </w:r>
      <w:r>
        <w:rPr>
          <w:rFonts w:ascii="宋体" w:hAnsi="宋体"/>
          <w:sz w:val="24"/>
        </w:rPr>
        <w:t xml:space="preserve">  </w:t>
      </w:r>
      <w:r>
        <w:rPr>
          <w:rFonts w:hint="eastAsia" w:ascii="宋体" w:hAnsi="宋体"/>
          <w:sz w:val="24"/>
        </w:rPr>
        <w:t>元）为此：</w:t>
      </w:r>
    </w:p>
    <w:p>
      <w:pPr>
        <w:pStyle w:val="55"/>
        <w:numPr>
          <w:ilvl w:val="0"/>
          <w:numId w:val="0"/>
        </w:numPr>
        <w:ind w:left="2" w:leftChars="1" w:firstLine="480" w:firstLineChars="200"/>
        <w:rPr>
          <w:rFonts w:hint="eastAsia"/>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55"/>
        <w:numPr>
          <w:ilvl w:val="0"/>
          <w:numId w:val="0"/>
        </w:numPr>
        <w:ind w:left="2" w:leftChars="1" w:firstLine="480" w:firstLineChars="200"/>
        <w:rPr>
          <w:rFonts w:hint="eastAsia"/>
          <w:sz w:val="24"/>
          <w:szCs w:val="24"/>
          <w:highlight w:val="none"/>
        </w:rPr>
      </w:pPr>
      <w:r>
        <w:rPr>
          <w:rFonts w:hint="eastAsia"/>
          <w:sz w:val="24"/>
          <w:szCs w:val="24"/>
        </w:rPr>
        <w:t>2.我方承诺已经具备《中华人民共和国政府采购法》中规定的参加政府采购活动的供应商应当具备及本项目规定的资格条件。</w:t>
      </w:r>
    </w:p>
    <w:p>
      <w:pPr>
        <w:pStyle w:val="55"/>
        <w:numPr>
          <w:ilvl w:val="0"/>
          <w:numId w:val="0"/>
        </w:numPr>
        <w:ind w:left="2" w:leftChars="1" w:firstLine="480" w:firstLineChars="200"/>
        <w:rPr>
          <w:rFonts w:hint="eastAsia"/>
          <w:sz w:val="24"/>
          <w:szCs w:val="24"/>
          <w:highlight w:val="none"/>
        </w:rPr>
      </w:pPr>
      <w:r>
        <w:rPr>
          <w:rFonts w:hint="eastAsia"/>
          <w:sz w:val="24"/>
          <w:szCs w:val="24"/>
          <w:highlight w:val="none"/>
        </w:rPr>
        <w:t>3.提供投标须知规定的全部招标文件，包括招标文件</w:t>
      </w:r>
      <w:r>
        <w:rPr>
          <w:rFonts w:hint="eastAsia"/>
          <w:b/>
          <w:sz w:val="24"/>
          <w:szCs w:val="24"/>
          <w:highlight w:val="none"/>
        </w:rPr>
        <w:t>正本1份，副本</w:t>
      </w:r>
      <w:r>
        <w:rPr>
          <w:rFonts w:hint="eastAsia"/>
          <w:b/>
          <w:sz w:val="24"/>
          <w:szCs w:val="24"/>
          <w:highlight w:val="none"/>
          <w:lang w:val="en-US" w:eastAsia="zh-CN"/>
        </w:rPr>
        <w:t>4</w:t>
      </w:r>
      <w:r>
        <w:rPr>
          <w:rFonts w:hint="eastAsia"/>
          <w:b/>
          <w:sz w:val="24"/>
          <w:szCs w:val="24"/>
          <w:highlight w:val="none"/>
        </w:rPr>
        <w:t>份</w:t>
      </w:r>
      <w:r>
        <w:rPr>
          <w:rFonts w:hint="eastAsia"/>
          <w:sz w:val="24"/>
          <w:szCs w:val="24"/>
          <w:highlight w:val="none"/>
        </w:rPr>
        <w:t>。</w:t>
      </w:r>
    </w:p>
    <w:p>
      <w:pPr>
        <w:pStyle w:val="55"/>
        <w:numPr>
          <w:ilvl w:val="0"/>
          <w:numId w:val="0"/>
        </w:numPr>
        <w:ind w:left="2" w:leftChars="1" w:firstLine="480" w:firstLineChars="200"/>
        <w:rPr>
          <w:rFonts w:hint="eastAsia"/>
          <w:sz w:val="24"/>
          <w:szCs w:val="24"/>
        </w:rPr>
      </w:pPr>
      <w:r>
        <w:rPr>
          <w:rFonts w:hint="eastAsia"/>
          <w:sz w:val="24"/>
          <w:szCs w:val="24"/>
          <w:highlight w:val="none"/>
        </w:rPr>
        <w:t>4.按招标文件要求提供和交付的货物和服务的投标详见报价明细表及服务方</w:t>
      </w:r>
      <w:r>
        <w:rPr>
          <w:rFonts w:hint="eastAsia"/>
          <w:sz w:val="24"/>
          <w:szCs w:val="24"/>
        </w:rPr>
        <w:t>案。</w:t>
      </w:r>
    </w:p>
    <w:p>
      <w:pPr>
        <w:pStyle w:val="55"/>
        <w:numPr>
          <w:ilvl w:val="0"/>
          <w:numId w:val="0"/>
        </w:numPr>
        <w:ind w:left="2" w:leftChars="1" w:firstLine="480" w:firstLineChars="200"/>
        <w:rPr>
          <w:rFonts w:hint="eastAsia"/>
          <w:sz w:val="24"/>
          <w:szCs w:val="24"/>
        </w:rPr>
      </w:pPr>
      <w:r>
        <w:rPr>
          <w:rFonts w:hint="eastAsia"/>
          <w:sz w:val="24"/>
          <w:szCs w:val="24"/>
        </w:rPr>
        <w:t>5.保证忠实执行双方签订的合同，并承担合同规定的责任和义务。</w:t>
      </w:r>
    </w:p>
    <w:p>
      <w:pPr>
        <w:pStyle w:val="55"/>
        <w:numPr>
          <w:ilvl w:val="0"/>
          <w:numId w:val="0"/>
        </w:numPr>
        <w:ind w:left="2" w:leftChars="1" w:firstLine="480" w:firstLineChars="200"/>
        <w:rPr>
          <w:rFonts w:hint="eastAsia"/>
          <w:sz w:val="24"/>
          <w:szCs w:val="24"/>
        </w:rPr>
      </w:pPr>
      <w:r>
        <w:rPr>
          <w:rFonts w:hint="eastAsia"/>
          <w:sz w:val="24"/>
          <w:szCs w:val="24"/>
        </w:rPr>
        <w:t>6.保证遵守招标文件的各项规定。</w:t>
      </w:r>
    </w:p>
    <w:p>
      <w:pPr>
        <w:pStyle w:val="55"/>
        <w:numPr>
          <w:ilvl w:val="0"/>
          <w:numId w:val="0"/>
        </w:numPr>
        <w:ind w:left="2" w:leftChars="1" w:firstLine="480" w:firstLineChars="200"/>
        <w:rPr>
          <w:rFonts w:hint="eastAsia"/>
          <w:sz w:val="24"/>
          <w:szCs w:val="24"/>
        </w:rPr>
      </w:pPr>
      <w:r>
        <w:rPr>
          <w:rFonts w:hint="eastAsia"/>
          <w:sz w:val="24"/>
          <w:szCs w:val="24"/>
        </w:rPr>
        <w:t>7.如果在规定的投标有效期内撤回投标，我方同意将被列入不良记录名单。</w:t>
      </w:r>
    </w:p>
    <w:p>
      <w:pPr>
        <w:pStyle w:val="55"/>
        <w:numPr>
          <w:ilvl w:val="0"/>
          <w:numId w:val="0"/>
        </w:numPr>
        <w:ind w:left="2" w:leftChars="1" w:firstLine="480" w:firstLineChars="200"/>
        <w:rPr>
          <w:rFonts w:hint="eastAsia"/>
          <w:sz w:val="24"/>
          <w:szCs w:val="24"/>
        </w:rPr>
      </w:pPr>
      <w:r>
        <w:rPr>
          <w:rFonts w:hint="eastAsia"/>
          <w:sz w:val="24"/>
          <w:szCs w:val="24"/>
        </w:rPr>
        <w:t>8.我方完全理解贵方不一定接受最低价的投标。</w:t>
      </w:r>
    </w:p>
    <w:p>
      <w:pPr>
        <w:pStyle w:val="55"/>
        <w:numPr>
          <w:ilvl w:val="0"/>
          <w:numId w:val="0"/>
        </w:numPr>
        <w:ind w:left="2" w:leftChars="1" w:firstLine="480" w:firstLineChars="200"/>
        <w:rPr>
          <w:rFonts w:hint="eastAsia"/>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55"/>
        <w:numPr>
          <w:ilvl w:val="0"/>
          <w:numId w:val="0"/>
        </w:numPr>
        <w:ind w:left="2" w:leftChars="1" w:firstLine="480" w:firstLineChars="200"/>
        <w:rPr>
          <w:rFonts w:hint="eastAsia"/>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55"/>
        <w:numPr>
          <w:ilvl w:val="0"/>
          <w:numId w:val="0"/>
        </w:numPr>
        <w:ind w:left="2" w:leftChars="1" w:firstLine="480" w:firstLineChars="200"/>
        <w:rPr>
          <w:rFonts w:hint="eastAsia"/>
          <w:sz w:val="24"/>
          <w:szCs w:val="24"/>
        </w:rPr>
      </w:pPr>
      <w:r>
        <w:rPr>
          <w:rFonts w:hint="eastAsia"/>
          <w:sz w:val="24"/>
          <w:szCs w:val="24"/>
        </w:rPr>
        <w:t>11.我方承诺接受招标文件中《成交合同》的全部条款且无任何异议。</w:t>
      </w:r>
    </w:p>
    <w:p>
      <w:pPr>
        <w:pStyle w:val="55"/>
        <w:numPr>
          <w:ilvl w:val="0"/>
          <w:numId w:val="0"/>
        </w:numPr>
        <w:ind w:left="2" w:leftChars="1" w:firstLine="480" w:firstLineChars="200"/>
        <w:rPr>
          <w:rFonts w:hint="eastAsia"/>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7"/>
        </w:numPr>
        <w:ind w:left="0" w:firstLine="480" w:firstLineChars="200"/>
        <w:rPr>
          <w:rFonts w:hint="eastAsia" w:ascii="宋体" w:hAnsi="宋体"/>
          <w:sz w:val="24"/>
        </w:rPr>
      </w:pPr>
      <w:r>
        <w:rPr>
          <w:rFonts w:hint="eastAsia" w:ascii="宋体" w:hAnsi="宋体"/>
          <w:sz w:val="24"/>
        </w:rPr>
        <w:t>提供虚假材料谋取成交的；</w:t>
      </w:r>
    </w:p>
    <w:p>
      <w:pPr>
        <w:numPr>
          <w:ilvl w:val="0"/>
          <w:numId w:val="7"/>
        </w:numPr>
        <w:ind w:left="0" w:firstLine="480" w:firstLineChars="200"/>
        <w:rPr>
          <w:rFonts w:hint="eastAsia" w:ascii="宋体" w:hAnsi="宋体"/>
          <w:sz w:val="24"/>
        </w:rPr>
      </w:pPr>
      <w:r>
        <w:rPr>
          <w:rFonts w:hint="eastAsia" w:ascii="宋体" w:hAnsi="宋体"/>
          <w:sz w:val="24"/>
        </w:rPr>
        <w:t>采取不正当手段诋毁、排挤其他供应商的；</w:t>
      </w:r>
    </w:p>
    <w:p>
      <w:pPr>
        <w:numPr>
          <w:ilvl w:val="0"/>
          <w:numId w:val="7"/>
        </w:numPr>
        <w:ind w:left="0" w:firstLine="480" w:firstLineChars="200"/>
        <w:rPr>
          <w:rFonts w:hint="eastAsia" w:ascii="宋体" w:hAnsi="宋体"/>
          <w:sz w:val="24"/>
        </w:rPr>
      </w:pPr>
      <w:r>
        <w:rPr>
          <w:rFonts w:hint="eastAsia" w:ascii="宋体" w:hAnsi="宋体"/>
          <w:sz w:val="24"/>
        </w:rPr>
        <w:t>与采购人、其它供应商或者采购人工作人员恶意串通的；</w:t>
      </w:r>
    </w:p>
    <w:p>
      <w:pPr>
        <w:numPr>
          <w:ilvl w:val="0"/>
          <w:numId w:val="7"/>
        </w:numPr>
        <w:ind w:left="0" w:firstLine="480" w:firstLineChars="200"/>
        <w:rPr>
          <w:rFonts w:hint="eastAsia" w:ascii="宋体" w:hAnsi="宋体"/>
          <w:sz w:val="24"/>
        </w:rPr>
      </w:pPr>
      <w:r>
        <w:rPr>
          <w:rFonts w:hint="eastAsia" w:ascii="宋体" w:hAnsi="宋体"/>
          <w:sz w:val="24"/>
        </w:rPr>
        <w:t>向采购人、采购人工作人员行贿或者提供其他不正当利益的；</w:t>
      </w:r>
    </w:p>
    <w:p>
      <w:pPr>
        <w:numPr>
          <w:ilvl w:val="0"/>
          <w:numId w:val="7"/>
        </w:numPr>
        <w:ind w:left="0" w:firstLine="480" w:firstLineChars="200"/>
        <w:rPr>
          <w:rFonts w:hint="eastAsia" w:ascii="宋体" w:hAnsi="宋体"/>
          <w:sz w:val="24"/>
        </w:rPr>
      </w:pPr>
      <w:r>
        <w:rPr>
          <w:rFonts w:hint="eastAsia" w:ascii="宋体" w:hAnsi="宋体"/>
          <w:sz w:val="24"/>
        </w:rPr>
        <w:t>未经采购人同意，在采购过程中与采购人进行协商招标的；</w:t>
      </w:r>
    </w:p>
    <w:p>
      <w:pPr>
        <w:numPr>
          <w:ilvl w:val="0"/>
          <w:numId w:val="7"/>
        </w:numPr>
        <w:ind w:left="0" w:firstLine="480" w:firstLineChars="200"/>
        <w:rPr>
          <w:rFonts w:hint="eastAsia" w:ascii="宋体" w:hAnsi="宋体"/>
          <w:sz w:val="24"/>
        </w:rPr>
      </w:pPr>
      <w:r>
        <w:rPr>
          <w:rFonts w:hint="eastAsia" w:ascii="宋体" w:hAnsi="宋体"/>
          <w:sz w:val="24"/>
        </w:rPr>
        <w:t>拒绝有关部门监督检查或提供虚假情况的；</w:t>
      </w:r>
    </w:p>
    <w:p>
      <w:pPr>
        <w:numPr>
          <w:ilvl w:val="0"/>
          <w:numId w:val="7"/>
        </w:numPr>
        <w:ind w:left="0" w:firstLine="480" w:firstLineChars="200"/>
        <w:rPr>
          <w:rFonts w:hint="eastAsia" w:ascii="宋体" w:hAnsi="宋体"/>
          <w:sz w:val="24"/>
        </w:rPr>
      </w:pPr>
      <w:r>
        <w:rPr>
          <w:rFonts w:hint="eastAsia" w:ascii="宋体" w:hAnsi="宋体"/>
          <w:sz w:val="24"/>
        </w:rPr>
        <w:t>拒绝质量技术监督部门对投标样品或成交货物作质量检验的。</w:t>
      </w:r>
    </w:p>
    <w:p>
      <w:pPr>
        <w:ind w:firstLine="480" w:firstLineChars="200"/>
        <w:rPr>
          <w:rFonts w:hint="eastAsia" w:ascii="宋体" w:hAnsi="宋体"/>
          <w:sz w:val="24"/>
        </w:rPr>
      </w:pPr>
      <w:r>
        <w:rPr>
          <w:rFonts w:hint="eastAsia" w:ascii="宋体" w:hAnsi="宋体"/>
          <w:sz w:val="24"/>
        </w:rPr>
        <w:t>与本投标有关的一切往来通讯请寄：</w:t>
      </w:r>
    </w:p>
    <w:p>
      <w:pPr>
        <w:tabs>
          <w:tab w:val="left" w:pos="480"/>
        </w:tabs>
        <w:ind w:firstLine="480" w:firstLineChars="200"/>
        <w:rPr>
          <w:rFonts w:hint="eastAsia" w:ascii="宋体" w:hAnsi="宋体"/>
          <w:sz w:val="24"/>
        </w:rPr>
      </w:pPr>
      <w:r>
        <w:rPr>
          <w:rFonts w:hint="eastAsia" w:ascii="宋体" w:hAnsi="宋体"/>
          <w:sz w:val="24"/>
        </w:rPr>
        <w:t xml:space="preserve">地址：__________________________  </w:t>
      </w:r>
      <w:r>
        <w:rPr>
          <w:rFonts w:hint="eastAsia" w:ascii="宋体" w:hAnsi="宋体"/>
          <w:sz w:val="24"/>
          <w:u w:val="single"/>
        </w:rPr>
        <w:t xml:space="preserve">                         </w:t>
      </w:r>
    </w:p>
    <w:p>
      <w:pPr>
        <w:tabs>
          <w:tab w:val="left" w:pos="480"/>
        </w:tabs>
        <w:ind w:firstLine="480" w:firstLineChars="200"/>
        <w:rPr>
          <w:rFonts w:hint="eastAsia" w:ascii="宋体" w:hAnsi="宋体"/>
          <w:sz w:val="24"/>
        </w:rPr>
      </w:pPr>
      <w:r>
        <w:rPr>
          <w:rFonts w:hint="eastAsia" w:ascii="宋体" w:hAnsi="宋体"/>
          <w:sz w:val="24"/>
        </w:rPr>
        <w:t>邮编：__________________________</w:t>
      </w:r>
      <w:r>
        <w:rPr>
          <w:rFonts w:hint="eastAsia" w:ascii="宋体" w:hAnsi="宋体"/>
          <w:sz w:val="24"/>
          <w:u w:val="single"/>
        </w:rPr>
        <w:t xml:space="preserve">                         </w:t>
      </w:r>
    </w:p>
    <w:p>
      <w:pPr>
        <w:tabs>
          <w:tab w:val="left" w:pos="480"/>
        </w:tabs>
        <w:ind w:firstLine="480" w:firstLineChars="200"/>
        <w:rPr>
          <w:rFonts w:hint="eastAsia"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_</w:t>
      </w:r>
    </w:p>
    <w:p>
      <w:pPr>
        <w:ind w:firstLine="480" w:firstLineChars="200"/>
        <w:rPr>
          <w:rFonts w:hint="eastAsia"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hint="eastAsia"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r>
        <w:rPr>
          <w:rFonts w:hint="eastAsia" w:ascii="宋体" w:hAnsi="宋体"/>
          <w:sz w:val="24"/>
          <w:u w:val="single"/>
        </w:rPr>
        <w:t xml:space="preserve">                          </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21001363"/>
      <w:bookmarkStart w:id="2" w:name="_Toc36287943"/>
      <w:bookmarkStart w:id="3" w:name="_Toc20816120"/>
      <w:bookmarkStart w:id="4" w:name="_Toc20642290"/>
      <w:bookmarkStart w:id="5" w:name="_Toc21000519"/>
      <w:bookmarkStart w:id="6" w:name="_Toc20988289"/>
    </w:p>
    <w:p>
      <w:pPr>
        <w:jc w:val="left"/>
        <w:rPr>
          <w:rFonts w:hint="eastAsia" w:ascii="宋体" w:hAnsi="宋体"/>
          <w:sz w:val="24"/>
        </w:rPr>
      </w:pPr>
      <w:r>
        <w:rPr>
          <w:rFonts w:hint="eastAsia" w:ascii="宋体" w:hAnsi="宋体"/>
          <w:b/>
          <w:bCs/>
          <w:kern w:val="0"/>
          <w:sz w:val="24"/>
        </w:rPr>
        <w:br w:type="page"/>
      </w:r>
      <w:r>
        <w:rPr>
          <w:rFonts w:hint="eastAsia" w:ascii="宋体" w:hAnsi="宋体"/>
          <w:b/>
          <w:bCs/>
          <w:kern w:val="0"/>
          <w:sz w:val="24"/>
        </w:rPr>
        <w:t>（二）投标报价一览表</w:t>
      </w:r>
    </w:p>
    <w:p>
      <w:pPr>
        <w:rPr>
          <w:rFonts w:hint="eastAsia" w:ascii="宋体" w:hAnsi="宋体"/>
          <w:b/>
          <w:bCs/>
          <w:color w:val="000000"/>
          <w:sz w:val="24"/>
        </w:rPr>
      </w:pPr>
    </w:p>
    <w:tbl>
      <w:tblPr>
        <w:tblStyle w:val="38"/>
        <w:tblW w:w="0" w:type="auto"/>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2668"/>
        <w:gridCol w:w="2680"/>
        <w:gridCol w:w="1993"/>
        <w:gridCol w:w="1993"/>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163" w:hRule="atLeast"/>
          <w:jc w:val="center"/>
        </w:trPr>
        <w:tc>
          <w:tcPr>
            <w:tcW w:w="2668" w:type="dxa"/>
            <w:tcBorders>
              <w:top w:val="double" w:color="000000" w:sz="6" w:space="0"/>
              <w:left w:val="double" w:color="000000" w:sz="6" w:space="0"/>
              <w:bottom w:val="double" w:color="000000" w:sz="2" w:space="0"/>
              <w:right w:val="double" w:color="000000" w:sz="2"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项目名称</w:t>
            </w:r>
          </w:p>
        </w:tc>
        <w:tc>
          <w:tcPr>
            <w:tcW w:w="2680"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项目内容</w:t>
            </w:r>
          </w:p>
        </w:tc>
        <w:tc>
          <w:tcPr>
            <w:tcW w:w="1993"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服务期限</w:t>
            </w:r>
          </w:p>
        </w:tc>
        <w:tc>
          <w:tcPr>
            <w:tcW w:w="1993"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总价</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214" w:hRule="atLeast"/>
          <w:jc w:val="center"/>
        </w:trPr>
        <w:tc>
          <w:tcPr>
            <w:tcW w:w="2668" w:type="dxa"/>
            <w:tcBorders>
              <w:top w:val="double" w:color="000000" w:sz="2" w:space="0"/>
              <w:left w:val="double" w:color="000000" w:sz="6" w:space="0"/>
              <w:right w:val="double" w:color="000000" w:sz="2" w:space="0"/>
            </w:tcBorders>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b w:val="0"/>
                <w:bCs/>
                <w:sz w:val="24"/>
                <w:lang w:eastAsia="zh-CN"/>
              </w:rPr>
              <w:t>潘安湖校区校园网运维项目</w:t>
            </w:r>
          </w:p>
        </w:tc>
        <w:tc>
          <w:tcPr>
            <w:tcW w:w="2680" w:type="dxa"/>
            <w:tcBorders>
              <w:top w:val="double" w:color="000000" w:sz="2" w:space="0"/>
              <w:left w:val="double" w:color="000000" w:sz="2" w:space="0"/>
              <w:right w:val="double" w:color="000000" w:sz="2"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val="0"/>
                <w:bCs/>
                <w:sz w:val="24"/>
                <w:lang w:eastAsia="zh-CN"/>
              </w:rPr>
              <w:t>详见磋商文件</w:t>
            </w:r>
          </w:p>
        </w:tc>
        <w:tc>
          <w:tcPr>
            <w:tcW w:w="1993" w:type="dxa"/>
            <w:tcBorders>
              <w:top w:val="double" w:color="000000" w:sz="2" w:space="0"/>
              <w:left w:val="double" w:color="000000" w:sz="2" w:space="0"/>
              <w:right w:val="double" w:color="000000" w:sz="2" w:space="0"/>
            </w:tcBorders>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2年</w:t>
            </w:r>
          </w:p>
        </w:tc>
        <w:tc>
          <w:tcPr>
            <w:tcW w:w="1993" w:type="dxa"/>
            <w:tcBorders>
              <w:top w:val="double" w:color="000000" w:sz="2" w:space="0"/>
              <w:left w:val="double" w:color="000000" w:sz="2" w:space="0"/>
              <w:right w:val="double" w:color="000000" w:sz="2"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52" w:hRule="atLeast"/>
          <w:jc w:val="center"/>
        </w:trPr>
        <w:tc>
          <w:tcPr>
            <w:tcW w:w="2668" w:type="dxa"/>
            <w:tcBorders>
              <w:top w:val="double" w:color="000000" w:sz="2" w:space="0"/>
              <w:left w:val="double" w:color="000000" w:sz="6" w:space="0"/>
              <w:bottom w:val="double" w:color="000000" w:sz="2" w:space="0"/>
              <w:right w:val="double" w:color="000000" w:sz="2"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总价（大写）：</w:t>
            </w:r>
          </w:p>
        </w:tc>
        <w:tc>
          <w:tcPr>
            <w:tcW w:w="6666" w:type="dxa"/>
            <w:gridSpan w:val="3"/>
            <w:tcBorders>
              <w:top w:val="double" w:color="000000" w:sz="2" w:space="0"/>
              <w:left w:val="double" w:color="000000" w:sz="2" w:space="0"/>
              <w:bottom w:val="double" w:color="000000" w:sz="2" w:space="0"/>
              <w:right w:val="double" w:color="000000" w:sz="2" w:space="0"/>
            </w:tcBorders>
            <w:noWrap w:val="0"/>
            <w:vAlign w:val="center"/>
          </w:tcPr>
          <w:p>
            <w:pPr>
              <w:jc w:val="center"/>
              <w:rPr>
                <w:rFonts w:hint="eastAsia" w:ascii="仿宋_GB2312" w:hAnsi="仿宋_GB2312" w:eastAsia="仿宋_GB2312" w:cs="仿宋_GB2312"/>
                <w:sz w:val="24"/>
              </w:rPr>
            </w:pPr>
          </w:p>
        </w:tc>
      </w:tr>
    </w:tbl>
    <w:p>
      <w:pPr>
        <w:ind w:firstLine="480"/>
        <w:jc w:val="right"/>
        <w:rPr>
          <w:rFonts w:ascii="宋体" w:hAnsi="宋体"/>
          <w:sz w:val="24"/>
        </w:rPr>
      </w:pPr>
    </w:p>
    <w:p>
      <w:pPr>
        <w:ind w:firstLine="480"/>
        <w:jc w:val="right"/>
        <w:rPr>
          <w:rFonts w:hint="eastAsia" w:ascii="宋体" w:hAnsi="宋体"/>
          <w:sz w:val="24"/>
        </w:rPr>
      </w:pPr>
    </w:p>
    <w:p>
      <w:pPr>
        <w:ind w:firstLine="480"/>
        <w:jc w:val="right"/>
        <w:rPr>
          <w:rFonts w:hint="eastAsia" w:ascii="宋体" w:hAnsi="宋体"/>
          <w:sz w:val="24"/>
        </w:rPr>
      </w:pPr>
    </w:p>
    <w:p>
      <w:pPr>
        <w:ind w:firstLine="480"/>
        <w:jc w:val="right"/>
        <w:rPr>
          <w:rFonts w:hint="eastAsia" w:ascii="宋体" w:hAnsi="宋体"/>
          <w:sz w:val="24"/>
        </w:rPr>
      </w:pPr>
    </w:p>
    <w:p>
      <w:pPr>
        <w:ind w:firstLine="480"/>
        <w:jc w:val="right"/>
        <w:rPr>
          <w:rFonts w:hint="eastAsia" w:ascii="宋体" w:hAnsi="宋体"/>
          <w:sz w:val="24"/>
          <w:u w:val="single"/>
        </w:rPr>
      </w:pPr>
      <w:r>
        <w:rPr>
          <w:rFonts w:hint="eastAsia" w:ascii="宋体" w:hAnsi="宋体"/>
          <w:sz w:val="24"/>
        </w:rPr>
        <w:t xml:space="preserve">投 标 人(加盖公章)： </w:t>
      </w:r>
      <w:r>
        <w:rPr>
          <w:rFonts w:hint="eastAsia" w:ascii="宋体" w:hAnsi="宋体"/>
          <w:sz w:val="24"/>
          <w:u w:val="single"/>
        </w:rPr>
        <w:t xml:space="preserve">                                   </w:t>
      </w:r>
    </w:p>
    <w:p>
      <w:pPr>
        <w:tabs>
          <w:tab w:val="left" w:pos="480"/>
        </w:tabs>
        <w:jc w:val="right"/>
        <w:rPr>
          <w:rFonts w:hint="eastAsia" w:ascii="宋体" w:hAnsi="宋体"/>
          <w:sz w:val="24"/>
        </w:rPr>
      </w:pPr>
      <w:r>
        <w:rPr>
          <w:rFonts w:hint="eastAsia" w:ascii="宋体" w:hAnsi="宋体"/>
          <w:sz w:val="24"/>
        </w:rPr>
        <w:tab/>
      </w:r>
      <w:r>
        <w:rPr>
          <w:rFonts w:hint="eastAsia" w:ascii="宋体" w:hAnsi="宋体"/>
          <w:sz w:val="24"/>
        </w:rPr>
        <w:t xml:space="preserve">投标人代表签字：    </w:t>
      </w:r>
      <w:r>
        <w:rPr>
          <w:rFonts w:hint="eastAsia" w:ascii="宋体" w:hAnsi="宋体"/>
          <w:sz w:val="24"/>
          <w:u w:val="single"/>
        </w:rPr>
        <w:t xml:space="preserve">                                    </w:t>
      </w:r>
    </w:p>
    <w:p>
      <w:pPr>
        <w:ind w:firstLine="480" w:firstLineChars="200"/>
        <w:jc w:val="right"/>
        <w:rPr>
          <w:rFonts w:ascii="宋体" w:hAnsi="宋体"/>
          <w:sz w:val="24"/>
        </w:rPr>
      </w:pPr>
      <w:r>
        <w:rPr>
          <w:rFonts w:hint="eastAsia" w:ascii="宋体" w:hAnsi="宋体"/>
          <w:sz w:val="24"/>
        </w:rPr>
        <w:t>日          期：</w:t>
      </w:r>
    </w:p>
    <w:p>
      <w:pPr>
        <w:jc w:val="left"/>
        <w:rPr>
          <w:rFonts w:hint="eastAsia" w:ascii="宋体" w:hAnsi="宋体"/>
          <w:b/>
          <w:bCs/>
          <w:kern w:val="0"/>
          <w:sz w:val="24"/>
        </w:rPr>
      </w:pPr>
      <w:r>
        <w:rPr>
          <w:rFonts w:hint="eastAsia" w:ascii="宋体" w:hAnsi="宋体"/>
          <w:b/>
          <w:bCs/>
          <w:kern w:val="0"/>
          <w:sz w:val="24"/>
        </w:rPr>
        <w:br w:type="page"/>
      </w:r>
      <w:r>
        <w:rPr>
          <w:rFonts w:hint="eastAsia" w:ascii="宋体" w:hAnsi="宋体"/>
          <w:b/>
          <w:bCs/>
          <w:kern w:val="0"/>
          <w:sz w:val="24"/>
        </w:rPr>
        <w:t>(三)法定代表人授权委托书</w:t>
      </w:r>
      <w:bookmarkEnd w:id="1"/>
      <w:bookmarkEnd w:id="2"/>
      <w:bookmarkEnd w:id="3"/>
      <w:bookmarkEnd w:id="4"/>
      <w:bookmarkEnd w:id="5"/>
      <w:bookmarkEnd w:id="6"/>
    </w:p>
    <w:p>
      <w:pPr>
        <w:rPr>
          <w:rFonts w:hint="eastAsia" w:ascii="宋体" w:hAnsi="宋体"/>
          <w:sz w:val="24"/>
        </w:rPr>
      </w:pPr>
      <w:r>
        <w:rPr>
          <w:rFonts w:hint="eastAsia" w:ascii="宋体" w:hAnsi="宋体"/>
          <w:sz w:val="24"/>
          <w:u w:val="single"/>
        </w:rPr>
        <w:t>江苏师范大学</w:t>
      </w:r>
      <w:r>
        <w:rPr>
          <w:rFonts w:hint="eastAsia" w:ascii="宋体" w:hAnsi="宋体"/>
          <w:sz w:val="24"/>
          <w:u w:val="single"/>
          <w:lang w:eastAsia="zh-CN"/>
        </w:rPr>
        <w:t>科文学院</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hint="eastAsia" w:ascii="宋体" w:hAnsi="宋体"/>
          <w:sz w:val="24"/>
        </w:rPr>
      </w:pPr>
      <w:r>
        <w:rPr>
          <w:rFonts w:hint="eastAsia" w:ascii="宋体" w:hAnsi="宋体"/>
          <w:sz w:val="24"/>
        </w:rPr>
        <w:t>本授权书于    年  月  日签字生效，特此声明。</w:t>
      </w:r>
    </w:p>
    <w:p>
      <w:pPr>
        <w:ind w:firstLine="480" w:firstLineChars="200"/>
        <w:rPr>
          <w:rFonts w:hint="eastAsia"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hint="eastAsia"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hint="eastAsia"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hint="eastAsia" w:ascii="宋体" w:hAnsi="宋体"/>
          <w:sz w:val="24"/>
        </w:rPr>
      </w:pPr>
    </w:p>
    <w:p>
      <w:pPr>
        <w:ind w:firstLine="6240" w:firstLineChars="2600"/>
        <w:rPr>
          <w:rFonts w:hint="eastAsia" w:ascii="宋体" w:hAnsi="宋体"/>
          <w:sz w:val="24"/>
        </w:rPr>
      </w:pPr>
    </w:p>
    <w:p>
      <w:pPr>
        <w:ind w:firstLine="6240" w:firstLineChars="2600"/>
        <w:rPr>
          <w:rFonts w:hint="eastAsia" w:ascii="宋体" w:hAnsi="宋体"/>
          <w:sz w:val="24"/>
        </w:rPr>
      </w:pPr>
    </w:p>
    <w:p>
      <w:pPr>
        <w:ind w:firstLine="6240" w:firstLineChars="2600"/>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88900</wp:posOffset>
                </wp:positionV>
                <wp:extent cx="3630295" cy="2499360"/>
                <wp:effectExtent l="5080" t="4445" r="22225" b="10795"/>
                <wp:wrapNone/>
                <wp:docPr id="1" name="文本框 2"/>
                <wp:cNvGraphicFramePr/>
                <a:graphic xmlns:a="http://schemas.openxmlformats.org/drawingml/2006/main">
                  <a:graphicData uri="http://schemas.microsoft.com/office/word/2010/wordprocessingShape">
                    <wps:wsp>
                      <wps:cNvSpPr txBox="1"/>
                      <wps:spPr>
                        <a:xfrm>
                          <a:off x="0" y="0"/>
                          <a:ext cx="3630295" cy="2499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（法定代表人二代身份证正反面复印件粘贴处）</w:t>
                            </w:r>
                          </w:p>
                        </w:txbxContent>
                      </wps:txbx>
                      <wps:bodyPr vert="horz" wrap="square" anchor="t" anchorCtr="0" upright="1"/>
                    </wps:wsp>
                  </a:graphicData>
                </a:graphic>
              </wp:anchor>
            </w:drawing>
          </mc:Choice>
          <mc:Fallback>
            <w:pict>
              <v:shape id="文本框 2" o:spid="_x0000_s1026" o:spt="202" type="#_x0000_t202" style="position:absolute;left:0pt;margin-left:88.95pt;margin-top:7pt;height:196.8pt;width:285.85pt;z-index:251659264;mso-width-relative:page;mso-height-relative:page;" fillcolor="#FFFFFF" filled="t" stroked="t" coordsize="21600,21600" o:gfxdata="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OdlADYAAAACgEAAA8AAAAAAAAAAQAgAAAAIgAAAGRycy9kb3ducmV2LnhtbFBLAQIU&#10;ABQAAAAIAIdO4kBPeLimLAIAAGoEAAAOAAAAAAAAAAEAIAAAACcBAABkcnMvZTJvRG9jLnhtbFBL&#10;BQYAAAAABgAGAFkBAADFBQ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（法定代表人二代身份证正反面复印件粘贴处）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2" w:firstLineChars="200"/>
        <w:rPr>
          <w:rFonts w:ascii="宋体" w:hAnsi="宋体"/>
          <w:sz w:val="24"/>
        </w:rPr>
      </w:pPr>
      <w:r>
        <w:rPr>
          <w:rFonts w:ascii="宋体" w:hAnsi="宋体"/>
          <w:b/>
          <w:sz w:val="24"/>
          <w:lang/>
        </w:rPr>
        <mc:AlternateContent>
          <mc:Choice Requires="wps">
            <w:drawing>
              <wp:anchor distT="0" distB="0" distL="114300" distR="114300" simplePos="0" relativeHeight="251660288" behindDoc="0" locked="0" layoutInCell="1" allowOverlap="1">
                <wp:simplePos x="0" y="0"/>
                <wp:positionH relativeFrom="column">
                  <wp:posOffset>1141095</wp:posOffset>
                </wp:positionH>
                <wp:positionV relativeFrom="paragraph">
                  <wp:posOffset>113665</wp:posOffset>
                </wp:positionV>
                <wp:extent cx="3649345" cy="2595245"/>
                <wp:effectExtent l="4445" t="5080" r="22860" b="9525"/>
                <wp:wrapNone/>
                <wp:docPr id="2" name="文本框 2"/>
                <wp:cNvGraphicFramePr/>
                <a:graphic xmlns:a="http://schemas.openxmlformats.org/drawingml/2006/main">
                  <a:graphicData uri="http://schemas.microsoft.com/office/word/2010/wordprocessingShape">
                    <wps:wsp>
                      <wps:cNvSpPr txBox="1"/>
                      <wps:spPr>
                        <a:xfrm>
                          <a:off x="0" y="0"/>
                          <a:ext cx="3649345" cy="2595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（投标人代表二代身份证正反面复印件粘贴处）</w:t>
                            </w:r>
                          </w:p>
                        </w:txbxContent>
                      </wps:txbx>
                      <wps:bodyPr vert="horz" wrap="square" anchor="t" anchorCtr="0" upright="1"/>
                    </wps:wsp>
                  </a:graphicData>
                </a:graphic>
              </wp:anchor>
            </w:drawing>
          </mc:Choice>
          <mc:Fallback>
            <w:pict>
              <v:shape id="_x0000_s1026" o:spid="_x0000_s1026" o:spt="202" type="#_x0000_t202" style="position:absolute;left:0pt;margin-left:89.85pt;margin-top:8.95pt;height:204.35pt;width:287.35pt;z-index:251660288;mso-width-relative:page;mso-height-relative:page;" fillcolor="#FFFFFF" filled="t" stroked="t" coordsize="21600,21600" o:gfxdata="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dZLcXYAAAACgEAAA8AAAAAAAAAAQAgAAAAIgAAAGRycy9kb3ducmV2LnhtbFBLAQIUABQA&#10;AAAIAIdO4kB98RK9KQIAAGoEAAAOAAAAAAAAAAEAIAAAACcBAABkcnMvZTJvRG9jLnhtbFBLBQYA&#10;AAAABgAGAFkBAADCBQ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（投标人代表二代身份证正反面复印件粘贴处）</w:t>
                      </w:r>
                    </w:p>
                  </w:txbxContent>
                </v:textbox>
              </v:shape>
            </w:pict>
          </mc:Fallback>
        </mc:AlternateContent>
      </w:r>
      <w:r>
        <w:rPr>
          <w:rFonts w:ascii="宋体" w:hAnsi="宋体"/>
          <w:sz w:val="24"/>
        </w:rPr>
        <w:br w:type="page"/>
      </w:r>
    </w:p>
    <w:p>
      <w:pPr>
        <w:rPr>
          <w:rFonts w:ascii="宋体" w:hAnsi="宋体"/>
          <w:b/>
          <w:sz w:val="24"/>
        </w:rPr>
      </w:pPr>
      <w:bookmarkStart w:id="7" w:name="_Toc86202638"/>
      <w:r>
        <w:rPr>
          <w:rFonts w:hint="eastAsia" w:ascii="宋体" w:hAnsi="宋体"/>
          <w:b/>
          <w:sz w:val="24"/>
        </w:rPr>
        <w:t>（四）承诺书</w:t>
      </w:r>
    </w:p>
    <w:p>
      <w:pPr>
        <w:jc w:val="left"/>
        <w:rPr>
          <w:rFonts w:hint="eastAsia" w:ascii="宋体" w:hAnsi="宋体"/>
          <w:sz w:val="24"/>
        </w:rPr>
      </w:pPr>
      <w:r>
        <w:rPr>
          <w:rFonts w:hint="eastAsia" w:ascii="宋体" w:hAnsi="宋体"/>
          <w:sz w:val="24"/>
        </w:rPr>
        <w:t>致江苏师范大学</w:t>
      </w:r>
      <w:r>
        <w:rPr>
          <w:rFonts w:hint="eastAsia" w:ascii="宋体" w:hAnsi="宋体"/>
          <w:sz w:val="24"/>
          <w:lang w:eastAsia="zh-CN"/>
        </w:rPr>
        <w:t>科文学院</w:t>
      </w:r>
      <w:r>
        <w:rPr>
          <w:rFonts w:hint="eastAsia" w:ascii="宋体" w:hAnsi="宋体"/>
          <w:sz w:val="24"/>
        </w:rPr>
        <w:t>：</w:t>
      </w:r>
    </w:p>
    <w:p>
      <w:pPr>
        <w:jc w:val="left"/>
        <w:rPr>
          <w:rFonts w:ascii="宋体" w:hAnsi="宋体"/>
          <w:sz w:val="24"/>
        </w:rPr>
      </w:pPr>
    </w:p>
    <w:p>
      <w:pPr>
        <w:ind w:firstLine="480" w:firstLineChars="200"/>
        <w:jc w:val="left"/>
        <w:rPr>
          <w:rFonts w:hint="eastAsia"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hint="eastAsia"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hint="eastAsia" w:ascii="宋体" w:hAnsi="宋体"/>
          <w:sz w:val="24"/>
        </w:rPr>
      </w:pPr>
      <w:r>
        <w:rPr>
          <w:rFonts w:hint="eastAsia" w:ascii="宋体" w:hAnsi="宋体"/>
          <w:sz w:val="24"/>
        </w:rPr>
        <w:t xml:space="preserve">我单位兹宣布同意如下: </w:t>
      </w:r>
    </w:p>
    <w:p>
      <w:pPr>
        <w:ind w:firstLine="480" w:firstLineChars="200"/>
        <w:jc w:val="left"/>
        <w:rPr>
          <w:rFonts w:hint="eastAsia"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hint="eastAsia"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hint="eastAsia" w:ascii="宋体" w:hAnsi="宋体"/>
          <w:sz w:val="24"/>
        </w:rPr>
      </w:pPr>
      <w:r>
        <w:rPr>
          <w:rFonts w:hint="eastAsia" w:ascii="宋体" w:hAnsi="宋体"/>
          <w:sz w:val="24"/>
        </w:rPr>
        <w:t>三、已详细审核招标文件（含竞招标文件的澄清或者修改），完全理解并同意放弃对这方面不明及误解的权利。</w:t>
      </w:r>
    </w:p>
    <w:p>
      <w:pPr>
        <w:ind w:firstLine="480" w:firstLineChars="200"/>
        <w:jc w:val="left"/>
        <w:rPr>
          <w:rFonts w:hint="eastAsia"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hint="eastAsia"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hint="eastAsia"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hint="eastAsia" w:ascii="宋体" w:hAnsi="宋体"/>
          <w:sz w:val="24"/>
        </w:rPr>
      </w:pPr>
    </w:p>
    <w:p>
      <w:pPr>
        <w:jc w:val="left"/>
        <w:rPr>
          <w:rFonts w:ascii="宋体" w:hAnsi="宋体"/>
          <w:sz w:val="24"/>
        </w:rPr>
      </w:pPr>
    </w:p>
    <w:p>
      <w:pPr>
        <w:jc w:val="left"/>
        <w:rPr>
          <w:rFonts w:ascii="宋体" w:hAnsi="宋体"/>
          <w:sz w:val="24"/>
        </w:rPr>
      </w:pPr>
    </w:p>
    <w:p>
      <w:pPr>
        <w:jc w:val="left"/>
        <w:rPr>
          <w:rFonts w:hint="eastAsia" w:ascii="宋体" w:hAnsi="宋体"/>
          <w:sz w:val="24"/>
        </w:rPr>
      </w:pPr>
      <w:r>
        <w:rPr>
          <w:rFonts w:hint="eastAsia" w:ascii="宋体" w:hAnsi="宋体"/>
          <w:sz w:val="24"/>
        </w:rPr>
        <w:t>投标人全称（加盖公章）：</w:t>
      </w:r>
    </w:p>
    <w:p>
      <w:pPr>
        <w:jc w:val="left"/>
        <w:rPr>
          <w:rFonts w:hint="eastAsia" w:ascii="宋体" w:hAnsi="宋体"/>
          <w:sz w:val="24"/>
        </w:rPr>
      </w:pPr>
      <w:r>
        <w:rPr>
          <w:rFonts w:hint="eastAsia" w:ascii="宋体" w:hAnsi="宋体"/>
          <w:sz w:val="24"/>
        </w:rPr>
        <w:t xml:space="preserve">法定代表人或投标人代表（签字或盖章）：  </w:t>
      </w:r>
    </w:p>
    <w:p>
      <w:pPr>
        <w:jc w:val="left"/>
        <w:rPr>
          <w:rFonts w:hint="eastAsia"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hint="eastAsia"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hint="eastAsia"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hint="eastAsia" w:ascii="宋体" w:hAnsi="宋体"/>
          <w:sz w:val="24"/>
        </w:rPr>
      </w:pPr>
      <w:r>
        <w:rPr>
          <w:rFonts w:hint="eastAsia" w:ascii="宋体" w:hAnsi="宋体"/>
          <w:sz w:val="24"/>
        </w:rPr>
        <w:t>投标人全称（加盖公章）：</w:t>
      </w:r>
    </w:p>
    <w:p>
      <w:pPr>
        <w:jc w:val="left"/>
        <w:rPr>
          <w:rFonts w:hint="eastAsia" w:ascii="宋体" w:hAnsi="宋体"/>
          <w:sz w:val="24"/>
        </w:rPr>
      </w:pPr>
      <w:r>
        <w:rPr>
          <w:rFonts w:hint="eastAsia" w:ascii="宋体" w:hAnsi="宋体"/>
          <w:sz w:val="24"/>
        </w:rPr>
        <w:t xml:space="preserve">法定代表人或投标人代表（签字或盖章）：  </w:t>
      </w:r>
    </w:p>
    <w:p>
      <w:pPr>
        <w:jc w:val="left"/>
        <w:rPr>
          <w:rFonts w:hint="eastAsia"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hint="eastAsia" w:ascii="宋体" w:hAnsi="宋体"/>
          <w:sz w:val="24"/>
        </w:rPr>
      </w:pPr>
    </w:p>
    <w:p>
      <w:pPr>
        <w:rPr>
          <w:rFonts w:hint="eastAsia"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p>
      <w:pPr>
        <w:ind w:left="472" w:hanging="472" w:hangingChars="196"/>
        <w:rPr>
          <w:rFonts w:hint="eastAsia" w:ascii="宋体" w:hAnsi="宋体"/>
          <w:b/>
          <w:sz w:val="24"/>
        </w:rPr>
      </w:pPr>
      <w:r>
        <w:rPr>
          <w:rFonts w:hint="eastAsia" w:ascii="宋体" w:hAnsi="宋体"/>
          <w:b/>
          <w:sz w:val="24"/>
        </w:rPr>
        <w:t xml:space="preserve">  </w:t>
      </w:r>
    </w:p>
    <w:tbl>
      <w:tblPr>
        <w:tblStyle w:val="38"/>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37"/>
        <w:spacing w:after="0"/>
        <w:ind w:firstLine="0" w:firstLineChars="0"/>
        <w:rPr>
          <w:rFonts w:hint="eastAsia"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37"/>
        <w:spacing w:after="0"/>
        <w:ind w:firstLine="0" w:firstLineChars="0"/>
        <w:rPr>
          <w:rFonts w:hint="eastAsia" w:ascii="宋体" w:hAnsi="宋体" w:eastAsia="宋体"/>
          <w:sz w:val="24"/>
          <w:szCs w:val="24"/>
        </w:rPr>
      </w:pPr>
      <w:r>
        <w:rPr>
          <w:rFonts w:hint="eastAsia" w:ascii="宋体" w:hAnsi="宋体" w:eastAsia="宋体"/>
          <w:sz w:val="24"/>
          <w:szCs w:val="24"/>
        </w:rPr>
        <w:t>投标人代表签字：___________________</w:t>
      </w:r>
    </w:p>
    <w:p>
      <w:pPr>
        <w:rPr>
          <w:rFonts w:hint="eastAsia" w:ascii="宋体" w:hAnsi="宋体"/>
          <w:b/>
          <w:sz w:val="24"/>
        </w:rPr>
      </w:pPr>
      <w:r>
        <w:rPr>
          <w:rFonts w:hint="eastAsia" w:ascii="宋体" w:hAnsi="宋体"/>
          <w:sz w:val="24"/>
        </w:rPr>
        <w:t>日期：</w:t>
      </w:r>
      <w:r>
        <w:rPr>
          <w:rFonts w:hint="eastAsia" w:ascii="宋体" w:hAnsi="宋体"/>
          <w:sz w:val="24"/>
          <w:u w:val="single"/>
        </w:rPr>
        <w:t xml:space="preserve">          </w:t>
      </w:r>
    </w:p>
    <w:p>
      <w:pPr>
        <w:pStyle w:val="37"/>
        <w:spacing w:after="0"/>
        <w:ind w:firstLine="0" w:firstLineChars="0"/>
        <w:rPr>
          <w:rFonts w:ascii="宋体" w:hAnsi="宋体" w:eastAsia="宋体"/>
          <w:b/>
          <w:sz w:val="24"/>
          <w:szCs w:val="24"/>
        </w:rPr>
      </w:pPr>
    </w:p>
    <w:p>
      <w:pPr>
        <w:pStyle w:val="37"/>
        <w:spacing w:after="0"/>
        <w:ind w:firstLine="0" w:firstLineChars="0"/>
        <w:rPr>
          <w:rFonts w:ascii="宋体" w:hAnsi="宋体" w:eastAsia="宋体"/>
          <w:b/>
          <w:sz w:val="24"/>
          <w:szCs w:val="24"/>
        </w:rPr>
      </w:pPr>
      <w:r>
        <w:rPr>
          <w:rFonts w:hint="eastAsia" w:ascii="宋体" w:hAnsi="宋体" w:eastAsia="宋体"/>
          <w:b/>
          <w:sz w:val="24"/>
          <w:szCs w:val="24"/>
        </w:rPr>
        <w:t>（七）</w:t>
      </w:r>
      <w:bookmarkEnd w:id="7"/>
      <w:bookmarkStart w:id="8" w:name="_Toc86202650"/>
      <w:r>
        <w:rPr>
          <w:rFonts w:hint="eastAsia" w:ascii="宋体" w:hAnsi="宋体" w:eastAsia="宋体"/>
          <w:b/>
          <w:sz w:val="24"/>
          <w:szCs w:val="24"/>
        </w:rPr>
        <w:t>业绩一览表</w:t>
      </w:r>
    </w:p>
    <w:tbl>
      <w:tblPr>
        <w:tblStyle w:val="38"/>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85"/>
        <w:gridCol w:w="1832"/>
        <w:gridCol w:w="1984"/>
        <w:gridCol w:w="2499"/>
        <w:gridCol w:w="155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起止时间</w:t>
            </w:r>
          </w:p>
        </w:tc>
        <w:tc>
          <w:tcPr>
            <w:tcW w:w="1832" w:type="dxa"/>
            <w:tcBorders>
              <w:top w:val="single" w:color="000000" w:sz="4" w:space="0"/>
              <w:bottom w:val="single" w:color="000000" w:sz="4" w:space="0"/>
            </w:tcBorders>
            <w:noWrap w:val="0"/>
            <w:vAlign w:val="top"/>
          </w:tcPr>
          <w:p>
            <w:pPr>
              <w:rPr>
                <w:rFonts w:ascii="宋体" w:hAnsi="宋体"/>
                <w:sz w:val="24"/>
              </w:rPr>
            </w:pPr>
            <w:r>
              <w:rPr>
                <w:rFonts w:hint="eastAsia" w:ascii="宋体" w:hAnsi="宋体"/>
                <w:sz w:val="24"/>
              </w:rPr>
              <w:t>项目名称</w:t>
            </w: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建设单位单位</w:t>
            </w:r>
          </w:p>
        </w:tc>
        <w:tc>
          <w:tcPr>
            <w:tcW w:w="2499" w:type="dxa"/>
            <w:tcBorders>
              <w:top w:val="single" w:color="000000" w:sz="4" w:space="0"/>
              <w:bottom w:val="single" w:color="000000" w:sz="4" w:space="0"/>
            </w:tcBorders>
            <w:noWrap w:val="0"/>
            <w:vAlign w:val="top"/>
          </w:tcPr>
          <w:p>
            <w:pPr>
              <w:rPr>
                <w:rFonts w:ascii="宋体" w:hAnsi="宋体"/>
                <w:sz w:val="24"/>
              </w:rPr>
            </w:pPr>
            <w:r>
              <w:rPr>
                <w:rFonts w:hint="eastAsia" w:ascii="宋体" w:hAnsi="宋体"/>
                <w:sz w:val="24"/>
              </w:rPr>
              <w:t>建设单位联系人及电话</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中标额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1832" w:type="dxa"/>
            <w:noWrap w:val="0"/>
            <w:vAlign w:val="top"/>
          </w:tcPr>
          <w:p>
            <w:pPr>
              <w:rPr>
                <w:rFonts w:ascii="宋体" w:hAnsi="宋体"/>
                <w:sz w:val="24"/>
              </w:rPr>
            </w:pPr>
            <w:r>
              <w:rPr>
                <w:rFonts w:ascii="宋体" w:hAnsi="宋体" w:cs="Calibri"/>
                <w:sz w:val="24"/>
              </w:rPr>
              <w:t> </w:t>
            </w:r>
          </w:p>
        </w:tc>
        <w:tc>
          <w:tcPr>
            <w:tcW w:w="1984"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2499" w:type="dxa"/>
            <w:noWrap w:val="0"/>
            <w:vAlign w:val="top"/>
          </w:tcPr>
          <w:p>
            <w:pPr>
              <w:rPr>
                <w:rFonts w:ascii="宋体" w:hAnsi="宋体"/>
                <w:sz w:val="24"/>
              </w:rPr>
            </w:pPr>
            <w:r>
              <w:rPr>
                <w:rFonts w:ascii="宋体" w:hAnsi="宋体" w:cs="Calibri"/>
                <w:sz w:val="24"/>
              </w:rPr>
              <w:t> </w:t>
            </w:r>
          </w:p>
        </w:tc>
        <w:tc>
          <w:tcPr>
            <w:tcW w:w="1559"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1832" w:type="dxa"/>
            <w:tcBorders>
              <w:top w:val="single" w:color="000000" w:sz="4" w:space="0"/>
              <w:bottom w:val="single" w:color="000000" w:sz="4" w:space="0"/>
            </w:tcBorders>
            <w:noWrap w:val="0"/>
            <w:vAlign w:val="top"/>
          </w:tcPr>
          <w:p>
            <w:pPr>
              <w:rPr>
                <w:rFonts w:ascii="宋体" w:hAnsi="宋体"/>
                <w:sz w:val="24"/>
              </w:rPr>
            </w:pPr>
            <w:r>
              <w:rPr>
                <w:rFonts w:ascii="宋体" w:hAnsi="宋体" w:cs="Calibri"/>
                <w:sz w:val="24"/>
              </w:rPr>
              <w:t> </w:t>
            </w: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2499" w:type="dxa"/>
            <w:tcBorders>
              <w:top w:val="single" w:color="000000" w:sz="4" w:space="0"/>
              <w:bottom w:val="single" w:color="000000" w:sz="4" w:space="0"/>
            </w:tcBorders>
            <w:noWrap w:val="0"/>
            <w:vAlign w:val="top"/>
          </w:tcPr>
          <w:p>
            <w:pPr>
              <w:rPr>
                <w:rFonts w:ascii="宋体" w:hAnsi="宋体"/>
                <w:sz w:val="24"/>
              </w:rPr>
            </w:pPr>
            <w:r>
              <w:rPr>
                <w:rFonts w:ascii="宋体" w:hAnsi="宋体" w:cs="Calibri"/>
                <w:sz w:val="24"/>
              </w:rPr>
              <w:t> </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p>
        </w:tc>
        <w:tc>
          <w:tcPr>
            <w:tcW w:w="1832" w:type="dxa"/>
            <w:noWrap w:val="0"/>
            <w:vAlign w:val="top"/>
          </w:tcPr>
          <w:p>
            <w:pPr>
              <w:rPr>
                <w:rFonts w:ascii="宋体" w:hAnsi="宋体"/>
                <w:sz w:val="24"/>
              </w:rPr>
            </w:pPr>
          </w:p>
        </w:tc>
        <w:tc>
          <w:tcPr>
            <w:tcW w:w="1984" w:type="dxa"/>
            <w:tcBorders>
              <w:left w:val="single" w:color="000000" w:sz="4" w:space="0"/>
              <w:right w:val="single" w:color="000000" w:sz="4" w:space="0"/>
            </w:tcBorders>
            <w:noWrap w:val="0"/>
            <w:vAlign w:val="top"/>
          </w:tcPr>
          <w:p>
            <w:pPr>
              <w:rPr>
                <w:rFonts w:ascii="宋体" w:hAnsi="宋体"/>
                <w:sz w:val="24"/>
              </w:rPr>
            </w:pPr>
          </w:p>
        </w:tc>
        <w:tc>
          <w:tcPr>
            <w:tcW w:w="2499" w:type="dxa"/>
            <w:noWrap w:val="0"/>
            <w:vAlign w:val="top"/>
          </w:tcPr>
          <w:p>
            <w:pPr>
              <w:rPr>
                <w:rFonts w:ascii="宋体" w:hAnsi="宋体"/>
                <w:sz w:val="24"/>
              </w:rPr>
            </w:pPr>
          </w:p>
        </w:tc>
        <w:tc>
          <w:tcPr>
            <w:tcW w:w="1559" w:type="dxa"/>
            <w:tcBorders>
              <w:left w:val="single" w:color="000000" w:sz="4" w:space="0"/>
              <w:right w:val="single" w:color="000000" w:sz="4" w:space="0"/>
            </w:tcBorders>
            <w:noWrap w:val="0"/>
            <w:vAlign w:val="top"/>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c>
          <w:tcPr>
            <w:tcW w:w="1832" w:type="dxa"/>
            <w:tcBorders>
              <w:top w:val="single" w:color="000000" w:sz="4" w:space="0"/>
              <w:bottom w:val="single" w:color="000000" w:sz="4" w:space="0"/>
            </w:tcBorders>
            <w:noWrap w:val="0"/>
            <w:vAlign w:val="top"/>
          </w:tcPr>
          <w:p>
            <w:pPr>
              <w:rPr>
                <w:rFonts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c>
          <w:tcPr>
            <w:tcW w:w="2499" w:type="dxa"/>
            <w:tcBorders>
              <w:top w:val="single" w:color="000000" w:sz="4" w:space="0"/>
              <w:bottom w:val="single" w:color="000000" w:sz="4" w:space="0"/>
            </w:tcBorders>
            <w:noWrap w:val="0"/>
            <w:vAlign w:val="top"/>
          </w:tcPr>
          <w:p>
            <w:pPr>
              <w:rPr>
                <w:rFonts w:ascii="宋体" w:hAnsi="宋体"/>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p>
        </w:tc>
        <w:tc>
          <w:tcPr>
            <w:tcW w:w="1832" w:type="dxa"/>
            <w:noWrap w:val="0"/>
            <w:vAlign w:val="top"/>
          </w:tcPr>
          <w:p>
            <w:pPr>
              <w:rPr>
                <w:rFonts w:ascii="宋体" w:hAnsi="宋体"/>
                <w:sz w:val="24"/>
              </w:rPr>
            </w:pPr>
          </w:p>
        </w:tc>
        <w:tc>
          <w:tcPr>
            <w:tcW w:w="1984" w:type="dxa"/>
            <w:tcBorders>
              <w:left w:val="single" w:color="000000" w:sz="4" w:space="0"/>
              <w:right w:val="single" w:color="000000" w:sz="4" w:space="0"/>
            </w:tcBorders>
            <w:noWrap w:val="0"/>
            <w:vAlign w:val="top"/>
          </w:tcPr>
          <w:p>
            <w:pPr>
              <w:rPr>
                <w:rFonts w:ascii="宋体" w:hAnsi="宋体"/>
                <w:sz w:val="24"/>
              </w:rPr>
            </w:pPr>
          </w:p>
        </w:tc>
        <w:tc>
          <w:tcPr>
            <w:tcW w:w="2499" w:type="dxa"/>
            <w:noWrap w:val="0"/>
            <w:vAlign w:val="top"/>
          </w:tcPr>
          <w:p>
            <w:pPr>
              <w:rPr>
                <w:rFonts w:ascii="宋体" w:hAnsi="宋体"/>
                <w:sz w:val="24"/>
              </w:rPr>
            </w:pPr>
          </w:p>
        </w:tc>
        <w:tc>
          <w:tcPr>
            <w:tcW w:w="1559" w:type="dxa"/>
            <w:tcBorders>
              <w:left w:val="single" w:color="000000" w:sz="4" w:space="0"/>
              <w:right w:val="single" w:color="000000" w:sz="4" w:space="0"/>
            </w:tcBorders>
            <w:noWrap w:val="0"/>
            <w:vAlign w:val="top"/>
          </w:tcPr>
          <w:p>
            <w:pPr>
              <w:rPr>
                <w:rFonts w:ascii="宋体" w:hAnsi="宋体"/>
                <w:sz w:val="24"/>
              </w:rPr>
            </w:pPr>
          </w:p>
        </w:tc>
      </w:tr>
    </w:tbl>
    <w:p>
      <w:pPr>
        <w:pStyle w:val="37"/>
        <w:spacing w:after="0"/>
        <w:ind w:firstLine="0" w:firstLineChars="0"/>
        <w:rPr>
          <w:rFonts w:ascii="宋体" w:hAnsi="宋体" w:eastAsia="宋体"/>
          <w:sz w:val="24"/>
          <w:szCs w:val="24"/>
          <w:u w:val="single"/>
        </w:rPr>
      </w:pPr>
    </w:p>
    <w:p>
      <w:pPr>
        <w:pStyle w:val="37"/>
        <w:spacing w:after="0"/>
        <w:ind w:firstLine="0" w:firstLineChars="0"/>
        <w:rPr>
          <w:rFonts w:hint="eastAsia" w:ascii="宋体" w:hAnsi="宋体" w:eastAsia="宋体"/>
          <w:sz w:val="24"/>
          <w:szCs w:val="24"/>
          <w:u w:val="single"/>
        </w:rPr>
      </w:pPr>
    </w:p>
    <w:p>
      <w:pPr>
        <w:pStyle w:val="37"/>
        <w:spacing w:after="0"/>
        <w:ind w:firstLine="0" w:firstLineChars="0"/>
        <w:rPr>
          <w:rFonts w:ascii="宋体" w:hAnsi="宋体" w:eastAsia="宋体"/>
          <w:b/>
          <w:sz w:val="24"/>
          <w:szCs w:val="24"/>
        </w:rPr>
      </w:pPr>
      <w:r>
        <w:rPr>
          <w:rFonts w:hint="eastAsia" w:ascii="宋体" w:hAnsi="宋体" w:eastAsia="宋体"/>
          <w:b/>
          <w:sz w:val="24"/>
          <w:szCs w:val="24"/>
        </w:rPr>
        <w:t>（八）资格审查符合性审查材料索引表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1008" w:type="dxa"/>
            <w:noWrap w:val="0"/>
            <w:vAlign w:val="center"/>
          </w:tcPr>
          <w:p>
            <w:pPr>
              <w:jc w:val="center"/>
              <w:rPr>
                <w:rFonts w:hint="eastAsia" w:ascii="宋体" w:hAnsi="宋体" w:cs="楷体"/>
                <w:b/>
                <w:bCs/>
                <w:sz w:val="24"/>
              </w:rPr>
            </w:pPr>
            <w:r>
              <w:rPr>
                <w:rFonts w:hint="eastAsia" w:ascii="宋体" w:hAnsi="宋体" w:cs="楷体"/>
                <w:b/>
                <w:bCs/>
                <w:sz w:val="24"/>
              </w:rPr>
              <w:t>序号</w:t>
            </w:r>
          </w:p>
        </w:tc>
        <w:tc>
          <w:tcPr>
            <w:tcW w:w="4770" w:type="dxa"/>
            <w:noWrap w:val="0"/>
            <w:vAlign w:val="center"/>
          </w:tcPr>
          <w:p>
            <w:pPr>
              <w:ind w:firstLine="482" w:firstLineChars="200"/>
              <w:jc w:val="center"/>
              <w:rPr>
                <w:rFonts w:hint="eastAsia" w:ascii="宋体" w:hAnsi="宋体" w:cs="楷体"/>
                <w:b/>
                <w:bCs/>
                <w:sz w:val="24"/>
              </w:rPr>
            </w:pPr>
            <w:r>
              <w:rPr>
                <w:rFonts w:hint="eastAsia" w:ascii="宋体" w:hAnsi="宋体" w:cs="楷体"/>
                <w:b/>
                <w:bCs/>
                <w:sz w:val="24"/>
              </w:rPr>
              <w:t>文件名称</w:t>
            </w:r>
          </w:p>
        </w:tc>
        <w:tc>
          <w:tcPr>
            <w:tcW w:w="2127" w:type="dxa"/>
            <w:noWrap w:val="0"/>
            <w:vAlign w:val="center"/>
          </w:tcPr>
          <w:p>
            <w:pPr>
              <w:jc w:val="center"/>
              <w:rPr>
                <w:rFonts w:hint="eastAsia" w:ascii="宋体" w:hAnsi="宋体" w:cs="楷体"/>
                <w:b/>
                <w:bCs/>
                <w:sz w:val="24"/>
              </w:rPr>
            </w:pPr>
            <w:r>
              <w:rPr>
                <w:rFonts w:hint="eastAsia" w:ascii="宋体" w:hAnsi="宋体" w:cs="楷体"/>
                <w:b/>
                <w:bCs/>
                <w:sz w:val="24"/>
              </w:rPr>
              <w:t>备注</w:t>
            </w:r>
          </w:p>
        </w:tc>
        <w:tc>
          <w:tcPr>
            <w:tcW w:w="1984" w:type="dxa"/>
            <w:noWrap w:val="0"/>
            <w:vAlign w:val="center"/>
          </w:tcPr>
          <w:p>
            <w:pPr>
              <w:jc w:val="center"/>
              <w:rPr>
                <w:rFonts w:hint="eastAsia"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1</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cs="楷体"/>
                <w:bCs/>
                <w:sz w:val="24"/>
              </w:rPr>
              <w:t>投标函</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2</w:t>
            </w:r>
          </w:p>
        </w:tc>
        <w:tc>
          <w:tcPr>
            <w:tcW w:w="4770" w:type="dxa"/>
            <w:noWrap w:val="0"/>
            <w:vAlign w:val="center"/>
          </w:tcPr>
          <w:p>
            <w:pPr>
              <w:jc w:val="center"/>
              <w:rPr>
                <w:rFonts w:hint="eastAsia" w:ascii="宋体" w:hAnsi="宋体" w:cs="楷体"/>
                <w:bCs/>
                <w:sz w:val="24"/>
              </w:rPr>
            </w:pPr>
            <w:r>
              <w:rPr>
                <w:rFonts w:hint="eastAsia" w:ascii="宋体" w:hAnsi="宋体"/>
                <w:sz w:val="24"/>
              </w:rPr>
              <w:t>法定代表人的授权委托书</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3</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承诺书</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4</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无重大违法记录的书面声明</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5</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sz w:val="24"/>
              </w:rPr>
              <w:t>营业执照复印件</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6</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资产负债表、利润表</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7</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信用查询截图</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8</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cs="楷体"/>
                <w:bCs/>
                <w:sz w:val="24"/>
              </w:rPr>
              <w:t>企业、项目负责人相关证书复印件</w:t>
            </w:r>
          </w:p>
        </w:tc>
        <w:tc>
          <w:tcPr>
            <w:tcW w:w="2127" w:type="dxa"/>
            <w:noWrap w:val="0"/>
            <w:vAlign w:val="center"/>
          </w:tcPr>
          <w:p>
            <w:pPr>
              <w:ind w:firstLine="480" w:firstLineChars="200"/>
              <w:rPr>
                <w:rFonts w:hint="eastAsia"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9</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ab/>
            </w:r>
            <w:r>
              <w:rPr>
                <w:rFonts w:hint="eastAsia" w:ascii="宋体" w:hAnsi="宋体" w:cs="楷体"/>
                <w:bCs/>
                <w:sz w:val="24"/>
              </w:rPr>
              <w:t>投标单位为投标代表缴纳社保证明</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1008" w:type="dxa"/>
            <w:noWrap w:val="0"/>
            <w:vAlign w:val="center"/>
          </w:tcPr>
          <w:p>
            <w:pPr>
              <w:jc w:val="center"/>
              <w:rPr>
                <w:rFonts w:hint="eastAsia" w:ascii="宋体" w:hAnsi="宋体" w:cs="楷体"/>
                <w:bCs/>
                <w:sz w:val="24"/>
              </w:rPr>
            </w:pPr>
          </w:p>
        </w:tc>
        <w:tc>
          <w:tcPr>
            <w:tcW w:w="4770" w:type="dxa"/>
            <w:noWrap w:val="0"/>
            <w:vAlign w:val="center"/>
          </w:tcPr>
          <w:p>
            <w:pPr>
              <w:jc w:val="center"/>
              <w:rPr>
                <w:rFonts w:hint="eastAsia" w:ascii="宋体" w:hAnsi="宋体" w:cs="楷体"/>
                <w:bCs/>
                <w:sz w:val="24"/>
              </w:rPr>
            </w:pP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bl>
    <w:p>
      <w:pPr>
        <w:pStyle w:val="37"/>
        <w:spacing w:after="0"/>
        <w:ind w:firstLine="0" w:firstLineChars="0"/>
        <w:rPr>
          <w:rFonts w:ascii="宋体" w:hAnsi="宋体" w:eastAsia="宋体"/>
          <w:sz w:val="24"/>
          <w:szCs w:val="24"/>
        </w:rPr>
      </w:pPr>
    </w:p>
    <w:p>
      <w:pPr>
        <w:pStyle w:val="81"/>
        <w:spacing w:after="0"/>
        <w:ind w:firstLine="0" w:firstLineChars="0"/>
        <w:rPr>
          <w:rFonts w:ascii="宋体" w:hAnsi="宋体" w:eastAsia="宋体"/>
          <w:sz w:val="24"/>
          <w:szCs w:val="24"/>
        </w:rPr>
      </w:pPr>
      <w:r>
        <w:rPr>
          <w:rFonts w:hint="eastAsia" w:ascii="宋体" w:hAnsi="宋体" w:eastAsia="宋体"/>
          <w:sz w:val="24"/>
          <w:szCs w:val="24"/>
        </w:rPr>
        <w:t>注：</w:t>
      </w:r>
    </w:p>
    <w:p>
      <w:pPr>
        <w:pStyle w:val="81"/>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81"/>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37"/>
        <w:spacing w:after="0"/>
        <w:ind w:firstLine="0" w:firstLineChars="0"/>
        <w:rPr>
          <w:rFonts w:ascii="宋体" w:hAnsi="宋体" w:eastAsia="宋体"/>
          <w:sz w:val="24"/>
          <w:szCs w:val="24"/>
        </w:rPr>
      </w:pPr>
    </w:p>
    <w:p>
      <w:pPr>
        <w:pStyle w:val="37"/>
        <w:spacing w:after="0"/>
        <w:ind w:firstLine="480" w:firstLineChars="200"/>
        <w:rPr>
          <w:rFonts w:hint="eastAsia" w:ascii="宋体" w:hAnsi="宋体" w:eastAsia="宋体"/>
          <w:sz w:val="24"/>
          <w:szCs w:val="24"/>
        </w:rPr>
      </w:pPr>
      <w:r>
        <w:rPr>
          <w:rFonts w:hint="eastAsia" w:ascii="宋体" w:hAnsi="宋体" w:eastAsia="宋体"/>
          <w:sz w:val="24"/>
          <w:szCs w:val="24"/>
        </w:rPr>
        <w:t xml:space="preserve">                  </w:t>
      </w:r>
      <w:bookmarkEnd w:id="8"/>
    </w:p>
    <w:p>
      <w:pPr>
        <w:pStyle w:val="37"/>
        <w:spacing w:after="0"/>
        <w:ind w:firstLine="0" w:firstLineChars="0"/>
        <w:rPr>
          <w:rFonts w:hint="eastAsia" w:ascii="宋体" w:hAnsi="宋体" w:eastAsia="宋体"/>
          <w:b/>
          <w:sz w:val="24"/>
          <w:szCs w:val="24"/>
        </w:rPr>
      </w:pPr>
    </w:p>
    <w:p>
      <w:pPr>
        <w:pStyle w:val="55"/>
        <w:numPr>
          <w:ilvl w:val="0"/>
          <w:numId w:val="0"/>
        </w:numPr>
        <w:rPr>
          <w:b/>
          <w:sz w:val="28"/>
          <w:szCs w:val="28"/>
        </w:rPr>
      </w:pPr>
    </w:p>
    <w:p>
      <w:pPr>
        <w:pStyle w:val="55"/>
        <w:numPr>
          <w:ilvl w:val="0"/>
          <w:numId w:val="0"/>
        </w:numPr>
        <w:rPr>
          <w:b/>
          <w:sz w:val="28"/>
          <w:szCs w:val="28"/>
        </w:rPr>
      </w:pPr>
    </w:p>
    <w:p>
      <w:pPr>
        <w:pStyle w:val="55"/>
        <w:numPr>
          <w:ilvl w:val="0"/>
          <w:numId w:val="0"/>
        </w:numPr>
        <w:rPr>
          <w:b/>
          <w:sz w:val="28"/>
          <w:szCs w:val="28"/>
        </w:rPr>
      </w:pPr>
    </w:p>
    <w:p>
      <w:pPr>
        <w:pStyle w:val="55"/>
        <w:numPr>
          <w:ilvl w:val="0"/>
          <w:numId w:val="0"/>
        </w:numPr>
        <w:rPr>
          <w:b/>
          <w:sz w:val="28"/>
          <w:szCs w:val="28"/>
        </w:rPr>
      </w:pPr>
    </w:p>
    <w:p>
      <w:pPr>
        <w:pStyle w:val="55"/>
        <w:numPr>
          <w:ilvl w:val="0"/>
          <w:numId w:val="0"/>
        </w:numPr>
        <w:rPr>
          <w:b/>
          <w:sz w:val="28"/>
          <w:szCs w:val="28"/>
        </w:rPr>
      </w:pPr>
    </w:p>
    <w:p>
      <w:pPr>
        <w:pStyle w:val="55"/>
        <w:numPr>
          <w:ilvl w:val="0"/>
          <w:numId w:val="0"/>
        </w:numPr>
        <w:rPr>
          <w:rFonts w:hint="eastAsia" w:eastAsia="宋体"/>
          <w:b/>
          <w:sz w:val="28"/>
          <w:szCs w:val="28"/>
          <w:lang w:eastAsia="zh-CN"/>
        </w:rPr>
      </w:pPr>
      <w:r>
        <w:rPr>
          <w:rFonts w:hint="eastAsia"/>
          <w:b/>
          <w:sz w:val="28"/>
          <w:szCs w:val="28"/>
        </w:rPr>
        <w:br w:type="page"/>
      </w:r>
      <w:r>
        <w:rPr>
          <w:rFonts w:hint="eastAsia"/>
          <w:b/>
          <w:sz w:val="28"/>
          <w:szCs w:val="28"/>
          <w:lang w:eastAsia="zh-CN"/>
        </w:rPr>
        <w:t>评分细则：</w:t>
      </w:r>
    </w:p>
    <w:tbl>
      <w:tblPr>
        <w:tblStyle w:val="38"/>
        <w:tblW w:w="10592" w:type="dxa"/>
        <w:tblInd w:w="-743"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32"/>
        <w:gridCol w:w="760"/>
        <w:gridCol w:w="713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367" w:type="dxa"/>
            <w:noWrap w:val="0"/>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评审</w:t>
            </w:r>
          </w:p>
          <w:p>
            <w:pPr>
              <w:spacing w:line="0" w:lineRule="atLeast"/>
              <w:jc w:val="center"/>
              <w:rPr>
                <w:rFonts w:hint="eastAsia" w:ascii="宋体" w:hAnsi="宋体" w:eastAsia="宋体" w:cs="宋体"/>
                <w:szCs w:val="21"/>
              </w:rPr>
            </w:pPr>
            <w:r>
              <w:rPr>
                <w:rFonts w:hint="eastAsia" w:ascii="宋体" w:hAnsi="宋体" w:eastAsia="宋体" w:cs="宋体"/>
                <w:szCs w:val="21"/>
              </w:rPr>
              <w:t>内容</w:t>
            </w:r>
          </w:p>
        </w:tc>
        <w:tc>
          <w:tcPr>
            <w:tcW w:w="1332" w:type="dxa"/>
            <w:noWrap w:val="0"/>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评审</w:t>
            </w:r>
          </w:p>
          <w:p>
            <w:pPr>
              <w:spacing w:line="0" w:lineRule="atLeast"/>
              <w:jc w:val="center"/>
              <w:rPr>
                <w:rFonts w:hint="eastAsia" w:ascii="宋体" w:hAnsi="宋体" w:eastAsia="宋体" w:cs="宋体"/>
                <w:szCs w:val="21"/>
              </w:rPr>
            </w:pPr>
            <w:r>
              <w:rPr>
                <w:rFonts w:hint="eastAsia" w:ascii="宋体" w:hAnsi="宋体" w:eastAsia="宋体" w:cs="宋体"/>
                <w:szCs w:val="21"/>
              </w:rPr>
              <w:t>因素</w:t>
            </w:r>
          </w:p>
        </w:tc>
        <w:tc>
          <w:tcPr>
            <w:tcW w:w="760" w:type="dxa"/>
            <w:noWrap w:val="0"/>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分值</w:t>
            </w:r>
          </w:p>
        </w:tc>
        <w:tc>
          <w:tcPr>
            <w:tcW w:w="7133" w:type="dxa"/>
            <w:noWrap w:val="0"/>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评审标准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1367" w:type="dxa"/>
            <w:vMerge w:val="restart"/>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商务部分</w:t>
            </w:r>
          </w:p>
        </w:tc>
        <w:tc>
          <w:tcPr>
            <w:tcW w:w="1332" w:type="dxa"/>
            <w:vMerge w:val="restart"/>
            <w:noWrap w:val="0"/>
            <w:vAlign w:val="center"/>
          </w:tcPr>
          <w:p>
            <w:pPr>
              <w:adjustRightInd w:val="0"/>
              <w:snapToGrid w:val="0"/>
              <w:spacing w:line="0" w:lineRule="atLeast"/>
              <w:jc w:val="center"/>
              <w:rPr>
                <w:rFonts w:hint="eastAsia" w:ascii="宋体" w:hAnsi="宋体" w:eastAsia="宋体" w:cs="宋体"/>
                <w:bCs/>
                <w:szCs w:val="21"/>
              </w:rPr>
            </w:pPr>
            <w:r>
              <w:rPr>
                <w:rFonts w:hint="eastAsia" w:ascii="宋体" w:hAnsi="宋体" w:eastAsia="宋体" w:cs="宋体"/>
                <w:bCs/>
                <w:szCs w:val="21"/>
              </w:rPr>
              <w:t>企业实力、证书、</w:t>
            </w:r>
          </w:p>
          <w:p>
            <w:pPr>
              <w:adjustRightInd w:val="0"/>
              <w:snapToGrid w:val="0"/>
              <w:spacing w:line="0" w:lineRule="atLeast"/>
              <w:jc w:val="center"/>
              <w:rPr>
                <w:rFonts w:hint="eastAsia" w:ascii="宋体" w:hAnsi="宋体" w:eastAsia="宋体" w:cs="宋体"/>
                <w:bCs/>
                <w:szCs w:val="21"/>
              </w:rPr>
            </w:pPr>
            <w:r>
              <w:rPr>
                <w:rFonts w:hint="eastAsia" w:ascii="宋体" w:hAnsi="宋体" w:eastAsia="宋体" w:cs="宋体"/>
                <w:bCs/>
                <w:szCs w:val="21"/>
              </w:rPr>
              <w:t>信誉、类似成功案例、标书制作</w:t>
            </w:r>
          </w:p>
        </w:tc>
        <w:tc>
          <w:tcPr>
            <w:tcW w:w="760"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8</w:t>
            </w:r>
          </w:p>
        </w:tc>
        <w:tc>
          <w:tcPr>
            <w:tcW w:w="7133" w:type="dxa"/>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投标人具备如下资质，一个资质2分，最高8分：</w:t>
            </w:r>
          </w:p>
          <w:p>
            <w:pPr>
              <w:adjustRightInd w:val="0"/>
              <w:snapToGrid w:val="0"/>
              <w:rPr>
                <w:rFonts w:hint="eastAsia" w:ascii="宋体" w:hAnsi="宋体" w:eastAsia="宋体" w:cs="宋体"/>
                <w:szCs w:val="21"/>
              </w:rPr>
            </w:pPr>
            <w:r>
              <w:rPr>
                <w:rFonts w:hint="eastAsia" w:ascii="宋体" w:hAnsi="宋体" w:eastAsia="宋体" w:cs="宋体"/>
                <w:szCs w:val="21"/>
              </w:rPr>
              <w:t>ITSS信息技术服务标准认证；</w:t>
            </w:r>
          </w:p>
          <w:p>
            <w:pPr>
              <w:adjustRightInd w:val="0"/>
              <w:snapToGrid w:val="0"/>
              <w:rPr>
                <w:rFonts w:hint="eastAsia" w:ascii="宋体" w:hAnsi="宋体" w:eastAsia="宋体" w:cs="宋体"/>
                <w:szCs w:val="21"/>
              </w:rPr>
            </w:pPr>
            <w:r>
              <w:rPr>
                <w:rFonts w:hint="eastAsia" w:ascii="宋体" w:hAnsi="宋体" w:eastAsia="宋体" w:cs="宋体"/>
                <w:szCs w:val="21"/>
              </w:rPr>
              <w:t>具有ISO 20000 IT服务管理体系认证；</w:t>
            </w:r>
          </w:p>
          <w:p>
            <w:pPr>
              <w:adjustRightInd w:val="0"/>
              <w:snapToGrid w:val="0"/>
              <w:rPr>
                <w:rFonts w:hint="eastAsia" w:ascii="宋体" w:hAnsi="宋体" w:eastAsia="宋体" w:cs="宋体"/>
                <w:szCs w:val="21"/>
              </w:rPr>
            </w:pPr>
            <w:r>
              <w:rPr>
                <w:rFonts w:hint="eastAsia" w:ascii="宋体" w:hAnsi="宋体" w:eastAsia="宋体" w:cs="宋体"/>
                <w:szCs w:val="21"/>
              </w:rPr>
              <w:t>具有ISO 27000 IT安全管理体系认证</w:t>
            </w:r>
          </w:p>
          <w:p>
            <w:pPr>
              <w:adjustRightInd w:val="0"/>
              <w:snapToGrid w:val="0"/>
              <w:rPr>
                <w:rFonts w:hint="eastAsia" w:ascii="宋体" w:hAnsi="宋体" w:eastAsia="宋体" w:cs="宋体"/>
                <w:szCs w:val="21"/>
              </w:rPr>
            </w:pPr>
            <w:r>
              <w:rPr>
                <w:rFonts w:hint="eastAsia" w:ascii="宋体" w:hAnsi="宋体" w:eastAsia="宋体" w:cs="宋体"/>
                <w:szCs w:val="21"/>
              </w:rPr>
              <w:t>电子与智能化工程专业承包贰级及以上资质；</w:t>
            </w:r>
          </w:p>
          <w:p>
            <w:pPr>
              <w:adjustRightInd w:val="0"/>
              <w:snapToGrid w:val="0"/>
              <w:rPr>
                <w:rFonts w:hint="eastAsia" w:ascii="宋体" w:hAnsi="宋体" w:eastAsia="宋体" w:cs="宋体"/>
                <w:color w:val="FF0000"/>
                <w:szCs w:val="21"/>
              </w:rPr>
            </w:pPr>
            <w:r>
              <w:rPr>
                <w:rFonts w:hint="eastAsia" w:ascii="宋体" w:hAnsi="宋体" w:eastAsia="宋体" w:cs="宋体"/>
                <w:szCs w:val="21"/>
              </w:rPr>
              <w:t>AAA级企业资信等级证书及以上；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367" w:type="dxa"/>
            <w:vMerge w:val="continue"/>
            <w:noWrap w:val="0"/>
            <w:vAlign w:val="center"/>
          </w:tcPr>
          <w:p>
            <w:pPr>
              <w:jc w:val="center"/>
              <w:rPr>
                <w:rFonts w:hint="eastAsia" w:ascii="宋体" w:hAnsi="宋体" w:eastAsia="宋体" w:cs="宋体"/>
                <w:color w:val="000000"/>
                <w:szCs w:val="21"/>
              </w:rPr>
            </w:pPr>
          </w:p>
        </w:tc>
        <w:tc>
          <w:tcPr>
            <w:tcW w:w="1332" w:type="dxa"/>
            <w:vMerge w:val="continue"/>
            <w:noWrap w:val="0"/>
            <w:vAlign w:val="center"/>
          </w:tcPr>
          <w:p>
            <w:pPr>
              <w:adjustRightInd w:val="0"/>
              <w:snapToGrid w:val="0"/>
              <w:spacing w:line="0" w:lineRule="atLeast"/>
              <w:jc w:val="center"/>
              <w:rPr>
                <w:rFonts w:hint="eastAsia" w:ascii="宋体" w:hAnsi="宋体" w:eastAsia="宋体" w:cs="宋体"/>
                <w:bCs/>
                <w:szCs w:val="21"/>
              </w:rPr>
            </w:pPr>
          </w:p>
        </w:tc>
        <w:tc>
          <w:tcPr>
            <w:tcW w:w="760"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10</w:t>
            </w:r>
          </w:p>
        </w:tc>
        <w:tc>
          <w:tcPr>
            <w:tcW w:w="7133" w:type="dxa"/>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提供近三年内高校、园区人数1万人以上的网络运维成功案例：一个案例2分，最高10分。提供复印件，原件核查，不提供原件不得分。如提供虚假资料直接取消中标资格。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7" w:type="dxa"/>
            <w:vMerge w:val="continue"/>
            <w:noWrap w:val="0"/>
            <w:vAlign w:val="center"/>
          </w:tcPr>
          <w:p>
            <w:pPr>
              <w:jc w:val="center"/>
              <w:rPr>
                <w:rFonts w:hint="eastAsia" w:ascii="宋体" w:hAnsi="宋体" w:eastAsia="宋体" w:cs="宋体"/>
                <w:color w:val="000000"/>
                <w:szCs w:val="21"/>
              </w:rPr>
            </w:pPr>
          </w:p>
        </w:tc>
        <w:tc>
          <w:tcPr>
            <w:tcW w:w="1332" w:type="dxa"/>
            <w:vMerge w:val="continue"/>
            <w:noWrap w:val="0"/>
            <w:vAlign w:val="center"/>
          </w:tcPr>
          <w:p>
            <w:pPr>
              <w:adjustRightInd w:val="0"/>
              <w:snapToGrid w:val="0"/>
              <w:jc w:val="center"/>
              <w:rPr>
                <w:rFonts w:hint="eastAsia" w:ascii="宋体" w:hAnsi="宋体" w:eastAsia="宋体" w:cs="宋体"/>
                <w:color w:val="000000"/>
                <w:szCs w:val="21"/>
              </w:rPr>
            </w:pPr>
          </w:p>
        </w:tc>
        <w:tc>
          <w:tcPr>
            <w:tcW w:w="760"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133" w:type="dxa"/>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根据投标人的标书制作及标书规范格式运用情况酌情评分。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367" w:type="dxa"/>
            <w:vMerge w:val="restart"/>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技术部分</w:t>
            </w:r>
          </w:p>
        </w:tc>
        <w:tc>
          <w:tcPr>
            <w:tcW w:w="1332" w:type="dxa"/>
            <w:vMerge w:val="restart"/>
            <w:noWrap w:val="0"/>
            <w:vAlign w:val="center"/>
          </w:tcPr>
          <w:p>
            <w:pPr>
              <w:adjustRightInd w:val="0"/>
              <w:snapToGrid w:val="0"/>
              <w:rPr>
                <w:rFonts w:hint="eastAsia" w:ascii="宋体" w:hAnsi="宋体" w:eastAsia="宋体" w:cs="宋体"/>
                <w:szCs w:val="21"/>
              </w:rPr>
            </w:pPr>
            <w:r>
              <w:rPr>
                <w:rFonts w:hint="eastAsia" w:ascii="宋体" w:hAnsi="宋体" w:eastAsia="宋体" w:cs="宋体"/>
                <w:szCs w:val="21"/>
              </w:rPr>
              <w:t>投标人进场后具体实施方案</w:t>
            </w:r>
          </w:p>
        </w:tc>
        <w:tc>
          <w:tcPr>
            <w:tcW w:w="760"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15</w:t>
            </w:r>
          </w:p>
        </w:tc>
        <w:tc>
          <w:tcPr>
            <w:tcW w:w="7133" w:type="dxa"/>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提供实施方案包括但不限于以下：1、质量管控；2、管理支撑（管理制度、工作流程等）；3、响应时限；4、合理化建议；5、配套设备；6、应急响应方案。进行横向综合评价出优良中差（优15（含）-10分、良9（含）-5分、中4（含）-1分、差0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67" w:type="dxa"/>
            <w:vMerge w:val="continue"/>
            <w:noWrap w:val="0"/>
            <w:vAlign w:val="center"/>
          </w:tcPr>
          <w:p>
            <w:pPr>
              <w:jc w:val="center"/>
              <w:rPr>
                <w:rFonts w:hint="eastAsia" w:ascii="宋体" w:hAnsi="宋体" w:eastAsia="宋体" w:cs="宋体"/>
                <w:color w:val="000000"/>
                <w:szCs w:val="21"/>
              </w:rPr>
            </w:pPr>
          </w:p>
        </w:tc>
        <w:tc>
          <w:tcPr>
            <w:tcW w:w="1332" w:type="dxa"/>
            <w:vMerge w:val="continue"/>
            <w:noWrap w:val="0"/>
            <w:vAlign w:val="center"/>
          </w:tcPr>
          <w:p>
            <w:pPr>
              <w:adjustRightInd w:val="0"/>
              <w:snapToGrid w:val="0"/>
              <w:jc w:val="center"/>
              <w:rPr>
                <w:rFonts w:hint="eastAsia" w:ascii="宋体" w:hAnsi="宋体" w:eastAsia="宋体" w:cs="宋体"/>
                <w:color w:val="000000"/>
                <w:szCs w:val="21"/>
              </w:rPr>
            </w:pPr>
          </w:p>
        </w:tc>
        <w:tc>
          <w:tcPr>
            <w:tcW w:w="760"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10</w:t>
            </w:r>
          </w:p>
        </w:tc>
        <w:tc>
          <w:tcPr>
            <w:tcW w:w="7133" w:type="dxa"/>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相关工作制度的制定、质量标准及内部考核方法。</w:t>
            </w:r>
          </w:p>
          <w:p>
            <w:pPr>
              <w:adjustRightInd w:val="0"/>
              <w:snapToGrid w:val="0"/>
              <w:rPr>
                <w:rFonts w:hint="eastAsia" w:ascii="宋体" w:hAnsi="宋体" w:eastAsia="宋体" w:cs="宋体"/>
                <w:szCs w:val="21"/>
              </w:rPr>
            </w:pPr>
            <w:r>
              <w:rPr>
                <w:rFonts w:hint="eastAsia" w:ascii="宋体" w:hAnsi="宋体" w:eastAsia="宋体" w:cs="宋体"/>
                <w:szCs w:val="21"/>
              </w:rPr>
              <w:t>进行综合评价（优10（含）-8分、良7（含）-5分、中4（含）-2分、差0分）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367" w:type="dxa"/>
            <w:vMerge w:val="continue"/>
            <w:noWrap w:val="0"/>
            <w:vAlign w:val="center"/>
          </w:tcPr>
          <w:p>
            <w:pPr>
              <w:jc w:val="center"/>
              <w:rPr>
                <w:rFonts w:hint="eastAsia" w:ascii="宋体" w:hAnsi="宋体" w:eastAsia="宋体" w:cs="宋体"/>
                <w:color w:val="000000"/>
                <w:szCs w:val="21"/>
              </w:rPr>
            </w:pPr>
          </w:p>
        </w:tc>
        <w:tc>
          <w:tcPr>
            <w:tcW w:w="1332" w:type="dxa"/>
            <w:vMerge w:val="restart"/>
            <w:noWrap w:val="0"/>
            <w:vAlign w:val="center"/>
          </w:tcPr>
          <w:p>
            <w:pPr>
              <w:adjustRightInd w:val="0"/>
              <w:snapToGrid w:val="0"/>
              <w:jc w:val="center"/>
              <w:rPr>
                <w:rFonts w:hint="eastAsia" w:ascii="宋体" w:hAnsi="宋体" w:eastAsia="宋体" w:cs="宋体"/>
                <w:color w:val="000000"/>
                <w:spacing w:val="4"/>
                <w:szCs w:val="21"/>
              </w:rPr>
            </w:pPr>
            <w:r>
              <w:rPr>
                <w:rFonts w:hint="eastAsia" w:ascii="宋体" w:hAnsi="宋体" w:eastAsia="宋体" w:cs="宋体"/>
                <w:color w:val="000000"/>
                <w:spacing w:val="4"/>
                <w:szCs w:val="21"/>
              </w:rPr>
              <w:t>服务人员素质情况</w:t>
            </w:r>
          </w:p>
        </w:tc>
        <w:tc>
          <w:tcPr>
            <w:tcW w:w="760" w:type="dxa"/>
            <w:noWrap w:val="0"/>
            <w:vAlign w:val="center"/>
          </w:tcPr>
          <w:p>
            <w:pPr>
              <w:adjustRightInd w:val="0"/>
              <w:snapToGrid w:val="0"/>
              <w:spacing w:line="276" w:lineRule="auto"/>
              <w:jc w:val="center"/>
              <w:rPr>
                <w:rFonts w:hint="eastAsia" w:ascii="宋体" w:hAnsi="宋体" w:eastAsia="宋体" w:cs="宋体"/>
                <w:szCs w:val="21"/>
              </w:rPr>
            </w:pPr>
            <w:r>
              <w:rPr>
                <w:rFonts w:hint="eastAsia" w:ascii="宋体" w:hAnsi="宋体" w:eastAsia="宋体" w:cs="宋体"/>
                <w:szCs w:val="21"/>
              </w:rPr>
              <w:t>10</w:t>
            </w:r>
          </w:p>
        </w:tc>
        <w:tc>
          <w:tcPr>
            <w:tcW w:w="7133" w:type="dxa"/>
            <w:noWrap w:val="0"/>
            <w:vAlign w:val="center"/>
          </w:tcPr>
          <w:p>
            <w:pPr>
              <w:widowControl/>
              <w:adjustRightInd w:val="0"/>
              <w:snapToGrid w:val="0"/>
              <w:rPr>
                <w:rFonts w:hint="eastAsia" w:ascii="宋体" w:hAnsi="宋体" w:eastAsia="宋体" w:cs="宋体"/>
                <w:kern w:val="0"/>
                <w:szCs w:val="21"/>
              </w:rPr>
            </w:pPr>
            <w:r>
              <w:rPr>
                <w:rFonts w:hint="eastAsia" w:ascii="宋体" w:hAnsi="宋体" w:eastAsia="宋体" w:cs="宋体"/>
                <w:kern w:val="0"/>
                <w:szCs w:val="21"/>
              </w:rPr>
              <w:t>后备技术支撑团队不低于8人得1分；</w:t>
            </w:r>
          </w:p>
          <w:p>
            <w:pPr>
              <w:widowControl/>
              <w:adjustRightInd w:val="0"/>
              <w:snapToGrid w:val="0"/>
              <w:rPr>
                <w:rFonts w:hint="eastAsia" w:ascii="宋体" w:hAnsi="宋体" w:eastAsia="宋体" w:cs="宋体"/>
                <w:kern w:val="0"/>
                <w:szCs w:val="21"/>
              </w:rPr>
            </w:pPr>
            <w:r>
              <w:rPr>
                <w:rFonts w:hint="eastAsia" w:ascii="宋体" w:hAnsi="宋体" w:eastAsia="宋体" w:cs="宋体"/>
                <w:kern w:val="0"/>
                <w:szCs w:val="21"/>
              </w:rPr>
              <w:t>团队人员具备CISP证书得1分；</w:t>
            </w:r>
          </w:p>
          <w:p>
            <w:pPr>
              <w:widowControl/>
              <w:adjustRightInd w:val="0"/>
              <w:snapToGrid w:val="0"/>
              <w:rPr>
                <w:rFonts w:hint="eastAsia" w:ascii="宋体" w:hAnsi="宋体" w:eastAsia="宋体" w:cs="宋体"/>
                <w:szCs w:val="21"/>
              </w:rPr>
            </w:pPr>
            <w:r>
              <w:rPr>
                <w:rFonts w:hint="eastAsia" w:ascii="宋体" w:hAnsi="宋体" w:eastAsia="宋体" w:cs="宋体"/>
                <w:kern w:val="0"/>
                <w:szCs w:val="21"/>
              </w:rPr>
              <w:t>团队人员须有至少两人具备</w:t>
            </w:r>
            <w:r>
              <w:rPr>
                <w:rFonts w:hint="eastAsia" w:ascii="宋体" w:hAnsi="宋体" w:eastAsia="宋体" w:cs="宋体"/>
                <w:szCs w:val="21"/>
              </w:rPr>
              <w:t>华为、华三、锐捷认证高级工程师（CCIE同级别）证书得6分；</w:t>
            </w:r>
          </w:p>
          <w:p>
            <w:pPr>
              <w:widowControl/>
              <w:adjustRightInd w:val="0"/>
              <w:snapToGrid w:val="0"/>
              <w:rPr>
                <w:rFonts w:hint="eastAsia" w:ascii="宋体" w:hAnsi="宋体" w:eastAsia="宋体" w:cs="宋体"/>
                <w:szCs w:val="21"/>
              </w:rPr>
            </w:pPr>
            <w:r>
              <w:rPr>
                <w:rFonts w:hint="eastAsia" w:ascii="宋体" w:hAnsi="宋体" w:eastAsia="宋体" w:cs="宋体"/>
                <w:szCs w:val="21"/>
              </w:rPr>
              <w:t>团队人员具备网络规划设计师证书得2分；</w:t>
            </w:r>
          </w:p>
          <w:p>
            <w:pPr>
              <w:widowControl/>
              <w:adjustRightInd w:val="0"/>
              <w:snapToGrid w:val="0"/>
              <w:rPr>
                <w:rFonts w:hint="eastAsia" w:ascii="宋体" w:hAnsi="宋体" w:eastAsia="宋体" w:cs="宋体"/>
                <w:szCs w:val="21"/>
              </w:rPr>
            </w:pPr>
            <w:r>
              <w:rPr>
                <w:rFonts w:hint="eastAsia" w:ascii="宋体" w:hAnsi="宋体" w:eastAsia="宋体" w:cs="宋体"/>
                <w:szCs w:val="21"/>
              </w:rPr>
              <w:t>提供开标前后备技术支撑团队人员连续6个月缴纳的单位社保证明。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367" w:type="dxa"/>
            <w:vMerge w:val="continue"/>
            <w:noWrap w:val="0"/>
            <w:vAlign w:val="center"/>
          </w:tcPr>
          <w:p>
            <w:pPr>
              <w:jc w:val="center"/>
              <w:rPr>
                <w:rFonts w:hint="eastAsia" w:ascii="宋体" w:hAnsi="宋体" w:eastAsia="宋体" w:cs="宋体"/>
                <w:color w:val="000000"/>
                <w:szCs w:val="21"/>
              </w:rPr>
            </w:pPr>
          </w:p>
        </w:tc>
        <w:tc>
          <w:tcPr>
            <w:tcW w:w="1332" w:type="dxa"/>
            <w:vMerge w:val="continue"/>
            <w:noWrap w:val="0"/>
            <w:vAlign w:val="center"/>
          </w:tcPr>
          <w:p>
            <w:pPr>
              <w:adjustRightInd w:val="0"/>
              <w:snapToGrid w:val="0"/>
              <w:rPr>
                <w:rFonts w:hint="eastAsia" w:ascii="宋体" w:hAnsi="宋体" w:eastAsia="宋体" w:cs="宋体"/>
                <w:color w:val="000000"/>
                <w:szCs w:val="21"/>
              </w:rPr>
            </w:pPr>
          </w:p>
        </w:tc>
        <w:tc>
          <w:tcPr>
            <w:tcW w:w="760" w:type="dxa"/>
            <w:noWrap w:val="0"/>
            <w:vAlign w:val="center"/>
          </w:tcPr>
          <w:p>
            <w:pPr>
              <w:adjustRightInd w:val="0"/>
              <w:snapToGrid w:val="0"/>
              <w:spacing w:line="276" w:lineRule="auto"/>
              <w:jc w:val="center"/>
              <w:rPr>
                <w:rFonts w:hint="eastAsia" w:ascii="宋体" w:hAnsi="宋体" w:eastAsia="宋体" w:cs="宋体"/>
                <w:kern w:val="0"/>
                <w:szCs w:val="21"/>
              </w:rPr>
            </w:pPr>
            <w:r>
              <w:rPr>
                <w:rFonts w:hint="eastAsia" w:ascii="宋体" w:hAnsi="宋体" w:eastAsia="宋体" w:cs="宋体"/>
                <w:kern w:val="0"/>
                <w:szCs w:val="21"/>
              </w:rPr>
              <w:t>5</w:t>
            </w:r>
          </w:p>
        </w:tc>
        <w:tc>
          <w:tcPr>
            <w:tcW w:w="7133" w:type="dxa"/>
            <w:noWrap w:val="0"/>
            <w:vAlign w:val="center"/>
          </w:tcPr>
          <w:p>
            <w:pPr>
              <w:adjustRightInd w:val="0"/>
              <w:snapToGrid w:val="0"/>
              <w:rPr>
                <w:rFonts w:hint="eastAsia" w:ascii="宋体" w:hAnsi="宋体" w:eastAsia="宋体" w:cs="宋体"/>
                <w:szCs w:val="21"/>
              </w:rPr>
            </w:pPr>
            <w:r>
              <w:rPr>
                <w:rFonts w:hint="eastAsia" w:ascii="宋体" w:hAnsi="宋体" w:eastAsia="宋体" w:cs="宋体"/>
                <w:szCs w:val="21"/>
              </w:rPr>
              <w:t>人员素质情况评分：（驻场人员证书）</w:t>
            </w:r>
          </w:p>
          <w:p>
            <w:pPr>
              <w:adjustRightInd w:val="0"/>
              <w:snapToGrid w:val="0"/>
              <w:rPr>
                <w:rFonts w:hint="eastAsia" w:ascii="宋体" w:hAnsi="宋体" w:eastAsia="宋体" w:cs="宋体"/>
                <w:szCs w:val="21"/>
              </w:rPr>
            </w:pPr>
            <w:r>
              <w:rPr>
                <w:rFonts w:hint="eastAsia" w:ascii="宋体" w:hAnsi="宋体" w:eastAsia="宋体" w:cs="宋体"/>
                <w:szCs w:val="21"/>
              </w:rPr>
              <w:t>需提供华为、华三、锐捷认证高级工程师证书至少1份（CCIE同级别），符合得3分，缺少不得分。</w:t>
            </w:r>
          </w:p>
          <w:p>
            <w:pPr>
              <w:adjustRightInd w:val="0"/>
              <w:snapToGrid w:val="0"/>
              <w:rPr>
                <w:rFonts w:hint="eastAsia" w:ascii="宋体" w:hAnsi="宋体" w:eastAsia="宋体" w:cs="宋体"/>
                <w:szCs w:val="21"/>
              </w:rPr>
            </w:pPr>
            <w:r>
              <w:rPr>
                <w:rFonts w:hint="eastAsia" w:ascii="宋体" w:hAnsi="宋体" w:eastAsia="宋体" w:cs="宋体"/>
                <w:szCs w:val="21"/>
              </w:rPr>
              <w:t>需提供华为、华三、锐捷认证工程师证书至少1份（CCNP同级别）。符合得1分，缺少不得分。</w:t>
            </w:r>
          </w:p>
          <w:p>
            <w:pPr>
              <w:adjustRightInd w:val="0"/>
              <w:snapToGrid w:val="0"/>
              <w:rPr>
                <w:rFonts w:hint="eastAsia" w:ascii="宋体" w:hAnsi="宋体" w:eastAsia="宋体" w:cs="宋体"/>
                <w:szCs w:val="21"/>
              </w:rPr>
            </w:pPr>
            <w:r>
              <w:rPr>
                <w:rFonts w:hint="eastAsia" w:ascii="宋体" w:hAnsi="宋体" w:eastAsia="宋体" w:cs="宋体"/>
                <w:szCs w:val="21"/>
              </w:rPr>
              <w:t>本项最高得5分。</w:t>
            </w:r>
          </w:p>
          <w:p>
            <w:pPr>
              <w:adjustRightInd w:val="0"/>
              <w:snapToGrid w:val="0"/>
              <w:rPr>
                <w:rFonts w:hint="eastAsia" w:ascii="宋体" w:hAnsi="宋体" w:eastAsia="宋体" w:cs="宋体"/>
                <w:szCs w:val="21"/>
              </w:rPr>
            </w:pPr>
            <w:r>
              <w:rPr>
                <w:rFonts w:hint="eastAsia" w:ascii="宋体" w:hAnsi="宋体" w:eastAsia="宋体" w:cs="宋体"/>
                <w:szCs w:val="21"/>
              </w:rPr>
              <w:t>提供复印件，原件核查，不提供原件不得分，并提供开标前连续6个月缴纳的单位社保证明。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367" w:type="dxa"/>
            <w:vMerge w:val="continue"/>
            <w:noWrap w:val="0"/>
            <w:vAlign w:val="center"/>
          </w:tcPr>
          <w:p>
            <w:pPr>
              <w:jc w:val="center"/>
              <w:rPr>
                <w:rFonts w:hint="eastAsia" w:ascii="宋体" w:hAnsi="宋体" w:eastAsia="宋体" w:cs="宋体"/>
                <w:color w:val="000000"/>
                <w:szCs w:val="21"/>
              </w:rPr>
            </w:pPr>
          </w:p>
        </w:tc>
        <w:tc>
          <w:tcPr>
            <w:tcW w:w="1332" w:type="dxa"/>
            <w:noWrap w:val="0"/>
            <w:vAlign w:val="center"/>
          </w:tcPr>
          <w:p>
            <w:pPr>
              <w:adjustRightInd w:val="0"/>
              <w:snapToGrid w:val="0"/>
              <w:jc w:val="center"/>
              <w:rPr>
                <w:rFonts w:hint="eastAsia" w:ascii="宋体" w:hAnsi="宋体" w:eastAsia="宋体" w:cs="宋体"/>
                <w:spacing w:val="4"/>
                <w:szCs w:val="21"/>
              </w:rPr>
            </w:pPr>
          </w:p>
          <w:p>
            <w:pPr>
              <w:adjustRightInd w:val="0"/>
              <w:snapToGrid w:val="0"/>
              <w:jc w:val="center"/>
              <w:rPr>
                <w:rFonts w:hint="eastAsia" w:ascii="宋体" w:hAnsi="宋体" w:eastAsia="宋体" w:cs="宋体"/>
                <w:spacing w:val="4"/>
                <w:szCs w:val="21"/>
              </w:rPr>
            </w:pPr>
            <w:r>
              <w:rPr>
                <w:rFonts w:hint="eastAsia" w:ascii="宋体" w:hAnsi="宋体" w:eastAsia="宋体" w:cs="宋体"/>
                <w:spacing w:val="4"/>
                <w:szCs w:val="21"/>
              </w:rPr>
              <w:t>运维服务平台</w:t>
            </w:r>
          </w:p>
        </w:tc>
        <w:tc>
          <w:tcPr>
            <w:tcW w:w="760" w:type="dxa"/>
            <w:noWrap w:val="0"/>
            <w:vAlign w:val="center"/>
          </w:tcPr>
          <w:p>
            <w:pPr>
              <w:adjustRightInd w:val="0"/>
              <w:snapToGrid w:val="0"/>
              <w:spacing w:line="276" w:lineRule="auto"/>
              <w:jc w:val="center"/>
              <w:rPr>
                <w:rFonts w:hint="eastAsia" w:ascii="宋体" w:hAnsi="宋体" w:eastAsia="宋体" w:cs="宋体"/>
                <w:kern w:val="0"/>
                <w:szCs w:val="21"/>
              </w:rPr>
            </w:pPr>
          </w:p>
          <w:p>
            <w:pPr>
              <w:adjustRightInd w:val="0"/>
              <w:snapToGrid w:val="0"/>
              <w:spacing w:line="276" w:lineRule="auto"/>
              <w:jc w:val="center"/>
              <w:rPr>
                <w:rFonts w:hint="eastAsia" w:ascii="宋体" w:hAnsi="宋体" w:eastAsia="宋体" w:cs="宋体"/>
                <w:kern w:val="0"/>
                <w:szCs w:val="21"/>
              </w:rPr>
            </w:pPr>
            <w:r>
              <w:rPr>
                <w:rFonts w:hint="eastAsia" w:ascii="宋体" w:hAnsi="宋体" w:eastAsia="宋体" w:cs="宋体"/>
                <w:kern w:val="0"/>
                <w:szCs w:val="21"/>
              </w:rPr>
              <w:t>10</w:t>
            </w:r>
          </w:p>
        </w:tc>
        <w:tc>
          <w:tcPr>
            <w:tcW w:w="7133" w:type="dxa"/>
            <w:noWrap w:val="0"/>
            <w:vAlign w:val="center"/>
          </w:tcPr>
          <w:p>
            <w:pPr>
              <w:adjustRightInd w:val="0"/>
              <w:snapToGrid w:val="0"/>
              <w:rPr>
                <w:rFonts w:hint="eastAsia" w:ascii="宋体" w:hAnsi="宋体" w:eastAsia="宋体" w:cs="宋体"/>
                <w:szCs w:val="21"/>
              </w:rPr>
            </w:pPr>
            <w:r>
              <w:rPr>
                <w:rFonts w:hint="eastAsia" w:ascii="宋体" w:hAnsi="宋体" w:eastAsia="宋体" w:cs="宋体"/>
                <w:szCs w:val="21"/>
              </w:rPr>
              <w:t>投标人需提供校园网运维平台：</w:t>
            </w:r>
          </w:p>
          <w:p>
            <w:pPr>
              <w:adjustRightInd w:val="0"/>
              <w:snapToGrid w:val="0"/>
              <w:rPr>
                <w:rFonts w:hint="eastAsia" w:ascii="宋体" w:hAnsi="宋体" w:eastAsia="宋体" w:cs="宋体"/>
                <w:szCs w:val="21"/>
              </w:rPr>
            </w:pPr>
            <w:r>
              <w:rPr>
                <w:rFonts w:hint="eastAsia" w:ascii="宋体" w:hAnsi="宋体" w:eastAsia="宋体" w:cs="宋体"/>
                <w:szCs w:val="21"/>
              </w:rPr>
              <w:t>1.平台支持网页、APP等多种报修入口2分（提供功能截图）</w:t>
            </w:r>
          </w:p>
          <w:p>
            <w:pPr>
              <w:adjustRightInd w:val="0"/>
              <w:snapToGrid w:val="0"/>
              <w:rPr>
                <w:rFonts w:hint="eastAsia" w:ascii="宋体" w:hAnsi="宋体" w:eastAsia="宋体" w:cs="宋体"/>
                <w:szCs w:val="21"/>
              </w:rPr>
            </w:pPr>
            <w:r>
              <w:rPr>
                <w:rFonts w:hint="eastAsia" w:ascii="宋体" w:hAnsi="宋体" w:eastAsia="宋体" w:cs="宋体"/>
                <w:szCs w:val="21"/>
              </w:rPr>
              <w:t>2.拥有独立“呼叫中心”和“统一客服中心”来电自动弹屏，快速接单得2分（提供功能截图）</w:t>
            </w:r>
          </w:p>
          <w:p>
            <w:pPr>
              <w:adjustRightInd w:val="0"/>
              <w:snapToGrid w:val="0"/>
              <w:rPr>
                <w:rFonts w:hint="eastAsia" w:ascii="宋体" w:hAnsi="宋体" w:eastAsia="宋体" w:cs="宋体"/>
                <w:szCs w:val="21"/>
              </w:rPr>
            </w:pPr>
            <w:r>
              <w:rPr>
                <w:rFonts w:hint="eastAsia" w:ascii="宋体" w:hAnsi="宋体" w:eastAsia="宋体" w:cs="宋体"/>
                <w:szCs w:val="21"/>
              </w:rPr>
              <w:t>3.平台支持工单实时监控功能，实时显示当前工单状态得2分（提供功能截图）</w:t>
            </w:r>
          </w:p>
          <w:p>
            <w:pPr>
              <w:adjustRightInd w:val="0"/>
              <w:snapToGrid w:val="0"/>
              <w:rPr>
                <w:rFonts w:hint="eastAsia" w:ascii="宋体" w:hAnsi="宋体" w:eastAsia="宋体" w:cs="宋体"/>
                <w:szCs w:val="21"/>
              </w:rPr>
            </w:pPr>
            <w:r>
              <w:rPr>
                <w:rFonts w:hint="eastAsia" w:ascii="宋体" w:hAnsi="宋体" w:eastAsia="宋体" w:cs="宋体"/>
                <w:szCs w:val="21"/>
              </w:rPr>
              <w:t>4.平台支持“一键报修”功能，用户无需复杂操作即可完成报修得2分。（提供功能截图）</w:t>
            </w:r>
          </w:p>
          <w:p>
            <w:pPr>
              <w:adjustRightInd w:val="0"/>
              <w:snapToGrid w:val="0"/>
              <w:rPr>
                <w:rFonts w:hint="eastAsia" w:ascii="宋体" w:hAnsi="宋体" w:eastAsia="宋体" w:cs="宋体"/>
                <w:szCs w:val="21"/>
              </w:rPr>
            </w:pPr>
            <w:r>
              <w:rPr>
                <w:rFonts w:hint="eastAsia" w:ascii="宋体" w:hAnsi="宋体" w:eastAsia="宋体" w:cs="宋体"/>
                <w:szCs w:val="21"/>
              </w:rPr>
              <w:t>5.具有知识库功能，服务人员可在平台内添加常见问题知识库得2分（提供功能截图）</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367" w:type="dxa"/>
            <w:noWrap w:val="0"/>
            <w:vAlign w:val="center"/>
          </w:tcPr>
          <w:p>
            <w:pPr>
              <w:snapToGrid w:val="0"/>
              <w:spacing w:before="48" w:beforeLines="20" w:after="48" w:afterLines="20"/>
              <w:jc w:val="center"/>
              <w:rPr>
                <w:rFonts w:hint="eastAsia" w:ascii="宋体" w:hAnsi="宋体" w:eastAsia="宋体" w:cs="宋体"/>
                <w:kern w:val="0"/>
                <w:szCs w:val="21"/>
              </w:rPr>
            </w:pPr>
            <w:r>
              <w:rPr>
                <w:rFonts w:hint="eastAsia" w:ascii="宋体" w:hAnsi="宋体" w:eastAsia="宋体" w:cs="宋体"/>
                <w:kern w:val="0"/>
                <w:szCs w:val="21"/>
              </w:rPr>
              <w:t>价格</w:t>
            </w:r>
          </w:p>
        </w:tc>
        <w:tc>
          <w:tcPr>
            <w:tcW w:w="1332" w:type="dxa"/>
            <w:noWrap w:val="0"/>
            <w:vAlign w:val="center"/>
          </w:tcPr>
          <w:p>
            <w:pPr>
              <w:snapToGrid w:val="0"/>
              <w:spacing w:before="48" w:beforeLines="20" w:after="48" w:afterLines="20"/>
              <w:jc w:val="center"/>
              <w:rPr>
                <w:rFonts w:hint="eastAsia" w:ascii="宋体" w:hAnsi="宋体" w:eastAsia="宋体" w:cs="宋体"/>
                <w:kern w:val="0"/>
                <w:szCs w:val="21"/>
              </w:rPr>
            </w:pPr>
            <w:r>
              <w:rPr>
                <w:rFonts w:hint="eastAsia" w:ascii="宋体" w:hAnsi="宋体" w:eastAsia="宋体" w:cs="宋体"/>
                <w:kern w:val="0"/>
                <w:szCs w:val="21"/>
              </w:rPr>
              <w:t>投标报价</w:t>
            </w:r>
          </w:p>
        </w:tc>
        <w:tc>
          <w:tcPr>
            <w:tcW w:w="760" w:type="dxa"/>
            <w:noWrap w:val="0"/>
            <w:vAlign w:val="center"/>
          </w:tcPr>
          <w:p>
            <w:pPr>
              <w:snapToGrid w:val="0"/>
              <w:spacing w:before="48" w:beforeLines="20" w:after="48" w:afterLines="20"/>
              <w:jc w:val="center"/>
              <w:rPr>
                <w:rFonts w:hint="eastAsia" w:ascii="宋体" w:hAnsi="宋体" w:eastAsia="宋体" w:cs="宋体"/>
                <w:kern w:val="0"/>
                <w:szCs w:val="21"/>
              </w:rPr>
            </w:pPr>
            <w:r>
              <w:rPr>
                <w:rFonts w:hint="eastAsia" w:ascii="宋体" w:hAnsi="宋体" w:eastAsia="宋体" w:cs="宋体"/>
                <w:kern w:val="0"/>
                <w:szCs w:val="21"/>
              </w:rPr>
              <w:t>30</w:t>
            </w:r>
          </w:p>
        </w:tc>
        <w:tc>
          <w:tcPr>
            <w:tcW w:w="7133" w:type="dxa"/>
            <w:noWrap w:val="0"/>
            <w:vAlign w:val="center"/>
          </w:tcPr>
          <w:p>
            <w:pPr>
              <w:jc w:val="left"/>
              <w:rPr>
                <w:rFonts w:hint="eastAsia" w:ascii="宋体" w:hAnsi="宋体" w:eastAsia="宋体" w:cs="宋体"/>
                <w:bCs/>
                <w:color w:val="000000"/>
                <w:szCs w:val="21"/>
              </w:rPr>
            </w:pPr>
            <w:r>
              <w:rPr>
                <w:rFonts w:hint="eastAsia" w:ascii="宋体" w:hAnsi="宋体" w:eastAsia="宋体" w:cs="宋体"/>
                <w:bCs/>
                <w:color w:val="000000"/>
                <w:szCs w:val="21"/>
              </w:rPr>
              <w:t>满足磋商文件要求且投标价格最低的投标报价为评标基准价，其价格分为满分30分。其他投标人的价格分统一按照下列公式计算：</w:t>
            </w:r>
          </w:p>
          <w:p>
            <w:pPr>
              <w:jc w:val="left"/>
              <w:rPr>
                <w:rFonts w:hint="eastAsia" w:ascii="宋体" w:hAnsi="宋体" w:eastAsia="宋体" w:cs="宋体"/>
                <w:kern w:val="0"/>
                <w:szCs w:val="21"/>
              </w:rPr>
            </w:pPr>
            <w:r>
              <w:rPr>
                <w:rFonts w:hint="eastAsia" w:ascii="宋体" w:hAnsi="宋体" w:eastAsia="宋体" w:cs="宋体"/>
                <w:bCs/>
                <w:color w:val="000000"/>
                <w:szCs w:val="21"/>
              </w:rPr>
              <w:t>投标报价得分=(评标基准价／投标报价)×30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459" w:type="dxa"/>
            <w:gridSpan w:val="3"/>
            <w:noWrap w:val="0"/>
            <w:vAlign w:val="center"/>
          </w:tcPr>
          <w:p>
            <w:pPr>
              <w:widowControl/>
              <w:jc w:val="center"/>
              <w:rPr>
                <w:rFonts w:hint="eastAsia" w:ascii="宋体" w:hAnsi="宋体" w:eastAsia="宋体" w:cs="宋体"/>
                <w:b/>
                <w:bCs/>
                <w:color w:val="000000"/>
                <w:spacing w:val="-4"/>
                <w:kern w:val="0"/>
                <w:szCs w:val="21"/>
                <w:lang w:eastAsia="zh-CN"/>
              </w:rPr>
            </w:pPr>
            <w:r>
              <w:rPr>
                <w:rFonts w:hint="eastAsia" w:ascii="宋体" w:hAnsi="宋体" w:eastAsia="宋体" w:cs="宋体"/>
                <w:spacing w:val="-4"/>
                <w:szCs w:val="21"/>
                <w:lang w:eastAsia="zh-CN"/>
              </w:rPr>
              <w:t>得分</w:t>
            </w:r>
          </w:p>
        </w:tc>
        <w:tc>
          <w:tcPr>
            <w:tcW w:w="7133" w:type="dxa"/>
            <w:noWrap w:val="0"/>
            <w:vAlign w:val="center"/>
          </w:tcPr>
          <w:p>
            <w:pPr>
              <w:widowControl/>
              <w:jc w:val="left"/>
              <w:rPr>
                <w:rFonts w:hint="eastAsia" w:ascii="宋体" w:hAnsi="宋体" w:eastAsia="宋体" w:cs="宋体"/>
                <w:szCs w:val="21"/>
              </w:rPr>
            </w:pPr>
            <w:r>
              <w:rPr>
                <w:rFonts w:hint="eastAsia" w:ascii="宋体" w:hAnsi="宋体" w:eastAsia="宋体" w:cs="宋体"/>
                <w:szCs w:val="21"/>
              </w:rPr>
              <w:t>计算小数点保留2位，第三位小数四舍五入。</w:t>
            </w:r>
          </w:p>
        </w:tc>
      </w:tr>
    </w:tbl>
    <w:p>
      <w:pPr>
        <w:pStyle w:val="55"/>
        <w:numPr>
          <w:ilvl w:val="0"/>
          <w:numId w:val="0"/>
        </w:numPr>
        <w:rPr>
          <w:rFonts w:hint="eastAsia"/>
          <w:b/>
          <w:sz w:val="28"/>
          <w:szCs w:val="28"/>
        </w:rPr>
      </w:pPr>
    </w:p>
    <w:sectPr>
      <w:footerReference r:id="rId3" w:type="default"/>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Helv">
    <w:altName w:val="Segoe Print"/>
    <w:panose1 w:val="020B0604020202030204"/>
    <w:charset w:val="00"/>
    <w:family w:val="swiss"/>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F7FFAFFF" w:usb1="E9DFFFFF" w:usb2="0000003F" w:usb3="00000000" w:csb0="003F01F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separate"/>
    </w:r>
    <w:r>
      <w:rPr>
        <w:rStyle w:val="42"/>
        <w:lang/>
      </w:rPr>
      <w:t>4</w:t>
    </w:r>
    <w:r>
      <w:fldChar w:fldCharType="end"/>
    </w:r>
  </w:p>
  <w:p>
    <w:pPr>
      <w:pStyle w:val="25"/>
      <w:ind w:right="360"/>
      <w:rPr>
        <w:rFonts w:hint="eastAsia"/>
      </w:rPr>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5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6D6133"/>
    <w:multiLevelType w:val="multilevel"/>
    <w:tmpl w:val="656D6133"/>
    <w:lvl w:ilvl="0" w:tentative="0">
      <w:start w:val="1"/>
      <w:numFmt w:val="chineseCountingThousand"/>
      <w:pStyle w:val="76"/>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4"/>
      <w:suff w:val="nothing"/>
      <w:lvlText w:val="(%3)"/>
      <w:lvlJc w:val="left"/>
      <w:pPr>
        <w:ind w:left="0" w:firstLine="0"/>
      </w:pPr>
    </w:lvl>
    <w:lvl w:ilvl="3" w:tentative="0">
      <w:start w:val="1"/>
      <w:numFmt w:val="decimal"/>
      <w:pStyle w:val="5"/>
      <w:suff w:val="nothing"/>
      <w:lvlText w:val="%4、"/>
      <w:lvlJc w:val="left"/>
      <w:pPr>
        <w:ind w:left="0" w:firstLine="0"/>
      </w:pPr>
    </w:lvl>
    <w:lvl w:ilvl="4" w:tentative="0">
      <w:start w:val="1"/>
      <w:numFmt w:val="upperLetter"/>
      <w:pStyle w:val="6"/>
      <w:suff w:val="nothing"/>
      <w:lvlText w:val="%5、"/>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4">
    <w:nsid w:val="68251EA4"/>
    <w:multiLevelType w:val="multilevel"/>
    <w:tmpl w:val="68251EA4"/>
    <w:lvl w:ilvl="0" w:tentative="0">
      <w:start w:val="1"/>
      <w:numFmt w:val="decimal"/>
      <w:lvlText w:val="%1、"/>
      <w:lvlJc w:val="left"/>
      <w:pPr>
        <w:tabs>
          <w:tab w:val="left" w:pos="360"/>
        </w:tabs>
        <w:ind w:left="360" w:hanging="360"/>
      </w:pPr>
    </w:lvl>
    <w:lvl w:ilvl="1" w:tentative="0">
      <w:start w:val="1"/>
      <w:numFmt w:val="bullet"/>
      <w:pStyle w:val="72"/>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1616C9F"/>
    <w:multiLevelType w:val="multilevel"/>
    <w:tmpl w:val="71616C9F"/>
    <w:lvl w:ilvl="0" w:tentative="0">
      <w:start w:val="1"/>
      <w:numFmt w:val="decimal"/>
      <w:lvlText w:val="%1."/>
      <w:lvlJc w:val="left"/>
      <w:pPr>
        <w:tabs>
          <w:tab w:val="left" w:pos="425"/>
        </w:tabs>
        <w:ind w:left="425" w:hanging="425"/>
      </w:pPr>
    </w:lvl>
    <w:lvl w:ilvl="1" w:tentative="0">
      <w:start w:val="1"/>
      <w:numFmt w:val="decimal"/>
      <w:pStyle w:val="66"/>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7C575E38"/>
    <w:multiLevelType w:val="multilevel"/>
    <w:tmpl w:val="7C575E38"/>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72"/>
    <w:rsid w:val="0000000F"/>
    <w:rsid w:val="00001321"/>
    <w:rsid w:val="000013B6"/>
    <w:rsid w:val="00002F39"/>
    <w:rsid w:val="00012E83"/>
    <w:rsid w:val="00013C6F"/>
    <w:rsid w:val="000151E2"/>
    <w:rsid w:val="0001676E"/>
    <w:rsid w:val="00016AE5"/>
    <w:rsid w:val="00017C10"/>
    <w:rsid w:val="00017C98"/>
    <w:rsid w:val="00017E74"/>
    <w:rsid w:val="00020550"/>
    <w:rsid w:val="00025DF0"/>
    <w:rsid w:val="00026249"/>
    <w:rsid w:val="0002671B"/>
    <w:rsid w:val="00031138"/>
    <w:rsid w:val="000320BF"/>
    <w:rsid w:val="00032A5D"/>
    <w:rsid w:val="00034467"/>
    <w:rsid w:val="000345D3"/>
    <w:rsid w:val="00037AA9"/>
    <w:rsid w:val="000416A6"/>
    <w:rsid w:val="00045890"/>
    <w:rsid w:val="00047BB1"/>
    <w:rsid w:val="0005167F"/>
    <w:rsid w:val="00053D3F"/>
    <w:rsid w:val="00056870"/>
    <w:rsid w:val="00057E2C"/>
    <w:rsid w:val="00060054"/>
    <w:rsid w:val="000610BC"/>
    <w:rsid w:val="0006189B"/>
    <w:rsid w:val="00061AD5"/>
    <w:rsid w:val="0006717D"/>
    <w:rsid w:val="0007069B"/>
    <w:rsid w:val="000706A9"/>
    <w:rsid w:val="00072555"/>
    <w:rsid w:val="00073A54"/>
    <w:rsid w:val="00074FD8"/>
    <w:rsid w:val="00075EFC"/>
    <w:rsid w:val="00076F8E"/>
    <w:rsid w:val="000777B8"/>
    <w:rsid w:val="000807F0"/>
    <w:rsid w:val="00085D64"/>
    <w:rsid w:val="00087741"/>
    <w:rsid w:val="000900EE"/>
    <w:rsid w:val="0009062B"/>
    <w:rsid w:val="00094C5F"/>
    <w:rsid w:val="000A1A73"/>
    <w:rsid w:val="000A3552"/>
    <w:rsid w:val="000A39BF"/>
    <w:rsid w:val="000A3CF0"/>
    <w:rsid w:val="000A4752"/>
    <w:rsid w:val="000A588E"/>
    <w:rsid w:val="000A5D0D"/>
    <w:rsid w:val="000B2929"/>
    <w:rsid w:val="000B44C5"/>
    <w:rsid w:val="000B4CAD"/>
    <w:rsid w:val="000B5552"/>
    <w:rsid w:val="000B613E"/>
    <w:rsid w:val="000B73B0"/>
    <w:rsid w:val="000C01A4"/>
    <w:rsid w:val="000C0818"/>
    <w:rsid w:val="000C097C"/>
    <w:rsid w:val="000C0C44"/>
    <w:rsid w:val="000D0856"/>
    <w:rsid w:val="000D0A6A"/>
    <w:rsid w:val="000D15A9"/>
    <w:rsid w:val="000D60CE"/>
    <w:rsid w:val="000E0C22"/>
    <w:rsid w:val="000E3C42"/>
    <w:rsid w:val="000E5666"/>
    <w:rsid w:val="000E79EE"/>
    <w:rsid w:val="000F14B6"/>
    <w:rsid w:val="000F1DCA"/>
    <w:rsid w:val="000F2518"/>
    <w:rsid w:val="000F3972"/>
    <w:rsid w:val="000F7EBF"/>
    <w:rsid w:val="000F7F33"/>
    <w:rsid w:val="001005D6"/>
    <w:rsid w:val="00106145"/>
    <w:rsid w:val="00106D07"/>
    <w:rsid w:val="00107382"/>
    <w:rsid w:val="001122AA"/>
    <w:rsid w:val="00112CCF"/>
    <w:rsid w:val="001134CC"/>
    <w:rsid w:val="001208BC"/>
    <w:rsid w:val="00123CFE"/>
    <w:rsid w:val="00125759"/>
    <w:rsid w:val="00125C7E"/>
    <w:rsid w:val="00127658"/>
    <w:rsid w:val="00127748"/>
    <w:rsid w:val="00130262"/>
    <w:rsid w:val="00133B75"/>
    <w:rsid w:val="001351F7"/>
    <w:rsid w:val="001364B8"/>
    <w:rsid w:val="00136EBF"/>
    <w:rsid w:val="001450B3"/>
    <w:rsid w:val="00147EBC"/>
    <w:rsid w:val="00151A13"/>
    <w:rsid w:val="00154AD0"/>
    <w:rsid w:val="0015522E"/>
    <w:rsid w:val="00160400"/>
    <w:rsid w:val="001637F0"/>
    <w:rsid w:val="00164DDA"/>
    <w:rsid w:val="00165186"/>
    <w:rsid w:val="00165715"/>
    <w:rsid w:val="00166034"/>
    <w:rsid w:val="00172B35"/>
    <w:rsid w:val="00173743"/>
    <w:rsid w:val="00176881"/>
    <w:rsid w:val="00176EF7"/>
    <w:rsid w:val="00177D2B"/>
    <w:rsid w:val="00182101"/>
    <w:rsid w:val="00184AD9"/>
    <w:rsid w:val="00185F11"/>
    <w:rsid w:val="001865C7"/>
    <w:rsid w:val="00186DCB"/>
    <w:rsid w:val="0019048B"/>
    <w:rsid w:val="0019242C"/>
    <w:rsid w:val="00194C43"/>
    <w:rsid w:val="00196C42"/>
    <w:rsid w:val="00197975"/>
    <w:rsid w:val="001A035B"/>
    <w:rsid w:val="001A3603"/>
    <w:rsid w:val="001A46AE"/>
    <w:rsid w:val="001B24F5"/>
    <w:rsid w:val="001B5A1B"/>
    <w:rsid w:val="001B67EA"/>
    <w:rsid w:val="001C0445"/>
    <w:rsid w:val="001C110F"/>
    <w:rsid w:val="001C1F8B"/>
    <w:rsid w:val="001C2262"/>
    <w:rsid w:val="001C3284"/>
    <w:rsid w:val="001C58D2"/>
    <w:rsid w:val="001C5BA5"/>
    <w:rsid w:val="001D03E6"/>
    <w:rsid w:val="001D20FF"/>
    <w:rsid w:val="001D58C1"/>
    <w:rsid w:val="001D5AB7"/>
    <w:rsid w:val="001D760F"/>
    <w:rsid w:val="001D7C8A"/>
    <w:rsid w:val="001E0D31"/>
    <w:rsid w:val="001E16ED"/>
    <w:rsid w:val="001E3E8D"/>
    <w:rsid w:val="001E679A"/>
    <w:rsid w:val="001F2FAD"/>
    <w:rsid w:val="001F31CE"/>
    <w:rsid w:val="001F670C"/>
    <w:rsid w:val="002001A6"/>
    <w:rsid w:val="00200A17"/>
    <w:rsid w:val="002021D4"/>
    <w:rsid w:val="00202ED4"/>
    <w:rsid w:val="0020515E"/>
    <w:rsid w:val="00210D4E"/>
    <w:rsid w:val="002114FE"/>
    <w:rsid w:val="002220CE"/>
    <w:rsid w:val="00222B04"/>
    <w:rsid w:val="00223BE7"/>
    <w:rsid w:val="00225805"/>
    <w:rsid w:val="00231E7B"/>
    <w:rsid w:val="0023388F"/>
    <w:rsid w:val="00233F53"/>
    <w:rsid w:val="00234557"/>
    <w:rsid w:val="002350F2"/>
    <w:rsid w:val="0023548A"/>
    <w:rsid w:val="00237DAC"/>
    <w:rsid w:val="002406D7"/>
    <w:rsid w:val="00242B8B"/>
    <w:rsid w:val="0024420C"/>
    <w:rsid w:val="00244CD2"/>
    <w:rsid w:val="00244D23"/>
    <w:rsid w:val="002511B1"/>
    <w:rsid w:val="00254986"/>
    <w:rsid w:val="00254A25"/>
    <w:rsid w:val="002551EB"/>
    <w:rsid w:val="00260606"/>
    <w:rsid w:val="002607C0"/>
    <w:rsid w:val="00262CF8"/>
    <w:rsid w:val="00272A51"/>
    <w:rsid w:val="00274349"/>
    <w:rsid w:val="002752B7"/>
    <w:rsid w:val="002756A2"/>
    <w:rsid w:val="00283623"/>
    <w:rsid w:val="00286205"/>
    <w:rsid w:val="0028676D"/>
    <w:rsid w:val="002911D6"/>
    <w:rsid w:val="00291FCD"/>
    <w:rsid w:val="00292B5B"/>
    <w:rsid w:val="002971C4"/>
    <w:rsid w:val="002A1980"/>
    <w:rsid w:val="002A3876"/>
    <w:rsid w:val="002A3BA1"/>
    <w:rsid w:val="002A5369"/>
    <w:rsid w:val="002A6730"/>
    <w:rsid w:val="002A7DAF"/>
    <w:rsid w:val="002B3393"/>
    <w:rsid w:val="002B3D02"/>
    <w:rsid w:val="002B6233"/>
    <w:rsid w:val="002B7E91"/>
    <w:rsid w:val="002C2CA3"/>
    <w:rsid w:val="002C312A"/>
    <w:rsid w:val="002C5D18"/>
    <w:rsid w:val="002C6920"/>
    <w:rsid w:val="002C73EC"/>
    <w:rsid w:val="002D08D0"/>
    <w:rsid w:val="002D1665"/>
    <w:rsid w:val="002D286B"/>
    <w:rsid w:val="002D28B1"/>
    <w:rsid w:val="002D2D64"/>
    <w:rsid w:val="002D4EF4"/>
    <w:rsid w:val="002E2465"/>
    <w:rsid w:val="002E4995"/>
    <w:rsid w:val="002E6393"/>
    <w:rsid w:val="002E697F"/>
    <w:rsid w:val="002E78DE"/>
    <w:rsid w:val="002F0821"/>
    <w:rsid w:val="002F1A0B"/>
    <w:rsid w:val="00300954"/>
    <w:rsid w:val="003013EF"/>
    <w:rsid w:val="00302C3F"/>
    <w:rsid w:val="00303D74"/>
    <w:rsid w:val="00304317"/>
    <w:rsid w:val="003046E3"/>
    <w:rsid w:val="00305FE8"/>
    <w:rsid w:val="003072FF"/>
    <w:rsid w:val="003142BB"/>
    <w:rsid w:val="00314518"/>
    <w:rsid w:val="0031614D"/>
    <w:rsid w:val="003161B1"/>
    <w:rsid w:val="0031622A"/>
    <w:rsid w:val="00317284"/>
    <w:rsid w:val="003217F4"/>
    <w:rsid w:val="00324056"/>
    <w:rsid w:val="00331BEB"/>
    <w:rsid w:val="00331D03"/>
    <w:rsid w:val="003326A5"/>
    <w:rsid w:val="00332C18"/>
    <w:rsid w:val="0033345C"/>
    <w:rsid w:val="0033485D"/>
    <w:rsid w:val="00340777"/>
    <w:rsid w:val="00341A47"/>
    <w:rsid w:val="00341B33"/>
    <w:rsid w:val="003470C9"/>
    <w:rsid w:val="00350A34"/>
    <w:rsid w:val="00350DA9"/>
    <w:rsid w:val="0035154B"/>
    <w:rsid w:val="00352B7A"/>
    <w:rsid w:val="00353E5D"/>
    <w:rsid w:val="00354F00"/>
    <w:rsid w:val="003570CF"/>
    <w:rsid w:val="003610C4"/>
    <w:rsid w:val="0036163E"/>
    <w:rsid w:val="003617E6"/>
    <w:rsid w:val="00361DD6"/>
    <w:rsid w:val="0036364C"/>
    <w:rsid w:val="003648B5"/>
    <w:rsid w:val="00364970"/>
    <w:rsid w:val="003667F4"/>
    <w:rsid w:val="003801F2"/>
    <w:rsid w:val="00381E37"/>
    <w:rsid w:val="00383713"/>
    <w:rsid w:val="003849CA"/>
    <w:rsid w:val="0038660D"/>
    <w:rsid w:val="00386C33"/>
    <w:rsid w:val="0039187D"/>
    <w:rsid w:val="00392919"/>
    <w:rsid w:val="00396F88"/>
    <w:rsid w:val="003975B6"/>
    <w:rsid w:val="003A1DDA"/>
    <w:rsid w:val="003A4D16"/>
    <w:rsid w:val="003A4F7F"/>
    <w:rsid w:val="003A7603"/>
    <w:rsid w:val="003B108D"/>
    <w:rsid w:val="003B443D"/>
    <w:rsid w:val="003B742E"/>
    <w:rsid w:val="003C0D24"/>
    <w:rsid w:val="003C55B9"/>
    <w:rsid w:val="003D0BC9"/>
    <w:rsid w:val="003D58E2"/>
    <w:rsid w:val="003D5F54"/>
    <w:rsid w:val="003D6913"/>
    <w:rsid w:val="003D74CC"/>
    <w:rsid w:val="003D799A"/>
    <w:rsid w:val="003E0291"/>
    <w:rsid w:val="003E303E"/>
    <w:rsid w:val="003E31BF"/>
    <w:rsid w:val="003E3A7F"/>
    <w:rsid w:val="003E498F"/>
    <w:rsid w:val="003E6CDC"/>
    <w:rsid w:val="003F166F"/>
    <w:rsid w:val="003F2B76"/>
    <w:rsid w:val="003F4368"/>
    <w:rsid w:val="003F47D4"/>
    <w:rsid w:val="003F6904"/>
    <w:rsid w:val="004057A6"/>
    <w:rsid w:val="0040796D"/>
    <w:rsid w:val="004079C0"/>
    <w:rsid w:val="00407D7C"/>
    <w:rsid w:val="0041230E"/>
    <w:rsid w:val="00413771"/>
    <w:rsid w:val="0042062B"/>
    <w:rsid w:val="004225DA"/>
    <w:rsid w:val="00423B42"/>
    <w:rsid w:val="00424306"/>
    <w:rsid w:val="004274D6"/>
    <w:rsid w:val="004307CB"/>
    <w:rsid w:val="00431321"/>
    <w:rsid w:val="00437622"/>
    <w:rsid w:val="0044223F"/>
    <w:rsid w:val="004429C4"/>
    <w:rsid w:val="0044498F"/>
    <w:rsid w:val="004469EC"/>
    <w:rsid w:val="00446F7C"/>
    <w:rsid w:val="00451A50"/>
    <w:rsid w:val="00451BC4"/>
    <w:rsid w:val="00451CAF"/>
    <w:rsid w:val="00453A19"/>
    <w:rsid w:val="00454D2E"/>
    <w:rsid w:val="00456DA5"/>
    <w:rsid w:val="0046232C"/>
    <w:rsid w:val="00462E94"/>
    <w:rsid w:val="0046345A"/>
    <w:rsid w:val="00466683"/>
    <w:rsid w:val="004708C5"/>
    <w:rsid w:val="00475B21"/>
    <w:rsid w:val="004804EC"/>
    <w:rsid w:val="004813DB"/>
    <w:rsid w:val="00485948"/>
    <w:rsid w:val="00487512"/>
    <w:rsid w:val="0048752F"/>
    <w:rsid w:val="00487BB3"/>
    <w:rsid w:val="00491672"/>
    <w:rsid w:val="00493996"/>
    <w:rsid w:val="00494C97"/>
    <w:rsid w:val="00496CC4"/>
    <w:rsid w:val="0049710C"/>
    <w:rsid w:val="00497653"/>
    <w:rsid w:val="004A0DC8"/>
    <w:rsid w:val="004A1261"/>
    <w:rsid w:val="004B12FA"/>
    <w:rsid w:val="004B1327"/>
    <w:rsid w:val="004B2104"/>
    <w:rsid w:val="004B3B76"/>
    <w:rsid w:val="004C0622"/>
    <w:rsid w:val="004C3519"/>
    <w:rsid w:val="004C4722"/>
    <w:rsid w:val="004C5DB7"/>
    <w:rsid w:val="004C74E6"/>
    <w:rsid w:val="004C7825"/>
    <w:rsid w:val="004C7A38"/>
    <w:rsid w:val="004D1AAF"/>
    <w:rsid w:val="004D3E6D"/>
    <w:rsid w:val="004D5BEA"/>
    <w:rsid w:val="004D5F27"/>
    <w:rsid w:val="004D70D3"/>
    <w:rsid w:val="004D7CD4"/>
    <w:rsid w:val="004D7DF5"/>
    <w:rsid w:val="004E2544"/>
    <w:rsid w:val="004E3F19"/>
    <w:rsid w:val="004E42B1"/>
    <w:rsid w:val="004E55CD"/>
    <w:rsid w:val="004E7D25"/>
    <w:rsid w:val="004F0737"/>
    <w:rsid w:val="004F1233"/>
    <w:rsid w:val="004F2D5E"/>
    <w:rsid w:val="004F3C47"/>
    <w:rsid w:val="004F4AA3"/>
    <w:rsid w:val="004F6C27"/>
    <w:rsid w:val="00502032"/>
    <w:rsid w:val="0050205C"/>
    <w:rsid w:val="005051E5"/>
    <w:rsid w:val="00510194"/>
    <w:rsid w:val="00511383"/>
    <w:rsid w:val="00512A52"/>
    <w:rsid w:val="0051345A"/>
    <w:rsid w:val="005143F5"/>
    <w:rsid w:val="0051633C"/>
    <w:rsid w:val="00520D61"/>
    <w:rsid w:val="00521D04"/>
    <w:rsid w:val="005247AB"/>
    <w:rsid w:val="00524E6C"/>
    <w:rsid w:val="0053508E"/>
    <w:rsid w:val="00536980"/>
    <w:rsid w:val="0053703D"/>
    <w:rsid w:val="00541F6B"/>
    <w:rsid w:val="0054381A"/>
    <w:rsid w:val="00546114"/>
    <w:rsid w:val="00547146"/>
    <w:rsid w:val="0055220A"/>
    <w:rsid w:val="005535D0"/>
    <w:rsid w:val="005619E8"/>
    <w:rsid w:val="0056582F"/>
    <w:rsid w:val="005664FA"/>
    <w:rsid w:val="00567071"/>
    <w:rsid w:val="00572C9F"/>
    <w:rsid w:val="005748BF"/>
    <w:rsid w:val="00575554"/>
    <w:rsid w:val="0058088F"/>
    <w:rsid w:val="00580CD1"/>
    <w:rsid w:val="0058127B"/>
    <w:rsid w:val="005816D9"/>
    <w:rsid w:val="00582E99"/>
    <w:rsid w:val="00587120"/>
    <w:rsid w:val="00592C31"/>
    <w:rsid w:val="00595683"/>
    <w:rsid w:val="005A1807"/>
    <w:rsid w:val="005A2721"/>
    <w:rsid w:val="005A2A38"/>
    <w:rsid w:val="005A3C2F"/>
    <w:rsid w:val="005A7310"/>
    <w:rsid w:val="005A7F4D"/>
    <w:rsid w:val="005B1F7C"/>
    <w:rsid w:val="005B2EF0"/>
    <w:rsid w:val="005B30FC"/>
    <w:rsid w:val="005B3E23"/>
    <w:rsid w:val="005B5DBA"/>
    <w:rsid w:val="005B5E75"/>
    <w:rsid w:val="005B779D"/>
    <w:rsid w:val="005C2C07"/>
    <w:rsid w:val="005C7DFB"/>
    <w:rsid w:val="005D0053"/>
    <w:rsid w:val="005D0E87"/>
    <w:rsid w:val="005D287C"/>
    <w:rsid w:val="005D3A40"/>
    <w:rsid w:val="005D42CC"/>
    <w:rsid w:val="005D52F0"/>
    <w:rsid w:val="005D5716"/>
    <w:rsid w:val="005D7AA8"/>
    <w:rsid w:val="005E2E66"/>
    <w:rsid w:val="005E42AE"/>
    <w:rsid w:val="005E7815"/>
    <w:rsid w:val="005E7942"/>
    <w:rsid w:val="005F05F6"/>
    <w:rsid w:val="005F3726"/>
    <w:rsid w:val="005F7B07"/>
    <w:rsid w:val="00601AC7"/>
    <w:rsid w:val="00602CFD"/>
    <w:rsid w:val="00603FD7"/>
    <w:rsid w:val="00604C4A"/>
    <w:rsid w:val="00611A72"/>
    <w:rsid w:val="006123A2"/>
    <w:rsid w:val="00613A00"/>
    <w:rsid w:val="00620F88"/>
    <w:rsid w:val="006210B2"/>
    <w:rsid w:val="006250D4"/>
    <w:rsid w:val="00627E27"/>
    <w:rsid w:val="00631320"/>
    <w:rsid w:val="00634B74"/>
    <w:rsid w:val="006354AE"/>
    <w:rsid w:val="00640CA8"/>
    <w:rsid w:val="00641C41"/>
    <w:rsid w:val="006428DA"/>
    <w:rsid w:val="00643CD3"/>
    <w:rsid w:val="00647ACB"/>
    <w:rsid w:val="006515D8"/>
    <w:rsid w:val="00652CB3"/>
    <w:rsid w:val="00652D37"/>
    <w:rsid w:val="00652FBE"/>
    <w:rsid w:val="00653933"/>
    <w:rsid w:val="00655992"/>
    <w:rsid w:val="00655CB5"/>
    <w:rsid w:val="00655F6F"/>
    <w:rsid w:val="00656350"/>
    <w:rsid w:val="00656A25"/>
    <w:rsid w:val="00660294"/>
    <w:rsid w:val="00660545"/>
    <w:rsid w:val="0066067B"/>
    <w:rsid w:val="006607C5"/>
    <w:rsid w:val="00662335"/>
    <w:rsid w:val="00662693"/>
    <w:rsid w:val="00663114"/>
    <w:rsid w:val="006672B3"/>
    <w:rsid w:val="00670725"/>
    <w:rsid w:val="0067107D"/>
    <w:rsid w:val="00671FA7"/>
    <w:rsid w:val="00676B77"/>
    <w:rsid w:val="006850BB"/>
    <w:rsid w:val="00686BA9"/>
    <w:rsid w:val="00687BBD"/>
    <w:rsid w:val="00694077"/>
    <w:rsid w:val="00695DED"/>
    <w:rsid w:val="0069709B"/>
    <w:rsid w:val="00697B0F"/>
    <w:rsid w:val="006A0595"/>
    <w:rsid w:val="006A238D"/>
    <w:rsid w:val="006A33FF"/>
    <w:rsid w:val="006A4834"/>
    <w:rsid w:val="006A6C40"/>
    <w:rsid w:val="006B0F7D"/>
    <w:rsid w:val="006B1123"/>
    <w:rsid w:val="006B1319"/>
    <w:rsid w:val="006B33C3"/>
    <w:rsid w:val="006B3E46"/>
    <w:rsid w:val="006B41D9"/>
    <w:rsid w:val="006B473D"/>
    <w:rsid w:val="006C059E"/>
    <w:rsid w:val="006C357A"/>
    <w:rsid w:val="006C3E41"/>
    <w:rsid w:val="006C7ED6"/>
    <w:rsid w:val="006D008D"/>
    <w:rsid w:val="006D61B2"/>
    <w:rsid w:val="006D6A5F"/>
    <w:rsid w:val="006E01CE"/>
    <w:rsid w:val="006E0CE0"/>
    <w:rsid w:val="006E4F98"/>
    <w:rsid w:val="006E76B4"/>
    <w:rsid w:val="006F151C"/>
    <w:rsid w:val="006F3F74"/>
    <w:rsid w:val="006F4695"/>
    <w:rsid w:val="006F46EC"/>
    <w:rsid w:val="006F6431"/>
    <w:rsid w:val="006F725B"/>
    <w:rsid w:val="006F7D91"/>
    <w:rsid w:val="00701080"/>
    <w:rsid w:val="00711124"/>
    <w:rsid w:val="0071273E"/>
    <w:rsid w:val="00712F5F"/>
    <w:rsid w:val="00713015"/>
    <w:rsid w:val="00716A68"/>
    <w:rsid w:val="007178F9"/>
    <w:rsid w:val="00720C96"/>
    <w:rsid w:val="007246CB"/>
    <w:rsid w:val="007259BE"/>
    <w:rsid w:val="00732659"/>
    <w:rsid w:val="00732D0C"/>
    <w:rsid w:val="00744DCC"/>
    <w:rsid w:val="00745327"/>
    <w:rsid w:val="00745CAF"/>
    <w:rsid w:val="00747945"/>
    <w:rsid w:val="0075110F"/>
    <w:rsid w:val="0075111D"/>
    <w:rsid w:val="007515A0"/>
    <w:rsid w:val="00755522"/>
    <w:rsid w:val="00756F37"/>
    <w:rsid w:val="00762019"/>
    <w:rsid w:val="00762F71"/>
    <w:rsid w:val="007630BD"/>
    <w:rsid w:val="00766D34"/>
    <w:rsid w:val="007704E4"/>
    <w:rsid w:val="0077073E"/>
    <w:rsid w:val="00771E91"/>
    <w:rsid w:val="00772111"/>
    <w:rsid w:val="007732AA"/>
    <w:rsid w:val="0077337D"/>
    <w:rsid w:val="00774567"/>
    <w:rsid w:val="00774F68"/>
    <w:rsid w:val="0077646B"/>
    <w:rsid w:val="00777B7D"/>
    <w:rsid w:val="00780219"/>
    <w:rsid w:val="00782095"/>
    <w:rsid w:val="00782860"/>
    <w:rsid w:val="007846E2"/>
    <w:rsid w:val="00784BB3"/>
    <w:rsid w:val="00784C57"/>
    <w:rsid w:val="00784CAD"/>
    <w:rsid w:val="00785216"/>
    <w:rsid w:val="00785826"/>
    <w:rsid w:val="00786180"/>
    <w:rsid w:val="0078692F"/>
    <w:rsid w:val="00790310"/>
    <w:rsid w:val="0079307F"/>
    <w:rsid w:val="00793694"/>
    <w:rsid w:val="00794B7A"/>
    <w:rsid w:val="00796FEB"/>
    <w:rsid w:val="007A0D66"/>
    <w:rsid w:val="007A19AF"/>
    <w:rsid w:val="007A3D92"/>
    <w:rsid w:val="007A5CD5"/>
    <w:rsid w:val="007B2C35"/>
    <w:rsid w:val="007B30DC"/>
    <w:rsid w:val="007B418B"/>
    <w:rsid w:val="007B69A0"/>
    <w:rsid w:val="007B6B85"/>
    <w:rsid w:val="007B7B3E"/>
    <w:rsid w:val="007C10A6"/>
    <w:rsid w:val="007C1D60"/>
    <w:rsid w:val="007C21C5"/>
    <w:rsid w:val="007C2369"/>
    <w:rsid w:val="007C4081"/>
    <w:rsid w:val="007C5210"/>
    <w:rsid w:val="007C5A51"/>
    <w:rsid w:val="007C68CB"/>
    <w:rsid w:val="007C775F"/>
    <w:rsid w:val="007D1296"/>
    <w:rsid w:val="007D6786"/>
    <w:rsid w:val="007D74FF"/>
    <w:rsid w:val="007D78C2"/>
    <w:rsid w:val="007E1442"/>
    <w:rsid w:val="007E219B"/>
    <w:rsid w:val="007E21A0"/>
    <w:rsid w:val="007E3607"/>
    <w:rsid w:val="007E54E5"/>
    <w:rsid w:val="007E6E49"/>
    <w:rsid w:val="007F02AD"/>
    <w:rsid w:val="007F1E8D"/>
    <w:rsid w:val="007F25A3"/>
    <w:rsid w:val="007F27E0"/>
    <w:rsid w:val="007F56FF"/>
    <w:rsid w:val="007F6D3C"/>
    <w:rsid w:val="007F708A"/>
    <w:rsid w:val="007F745C"/>
    <w:rsid w:val="00803429"/>
    <w:rsid w:val="00803D03"/>
    <w:rsid w:val="008042D0"/>
    <w:rsid w:val="00806DCB"/>
    <w:rsid w:val="00807D92"/>
    <w:rsid w:val="00810CF8"/>
    <w:rsid w:val="008116C3"/>
    <w:rsid w:val="00814B45"/>
    <w:rsid w:val="0081787E"/>
    <w:rsid w:val="00820038"/>
    <w:rsid w:val="00820233"/>
    <w:rsid w:val="00820456"/>
    <w:rsid w:val="0082382A"/>
    <w:rsid w:val="0082386A"/>
    <w:rsid w:val="008266DA"/>
    <w:rsid w:val="00827531"/>
    <w:rsid w:val="00830413"/>
    <w:rsid w:val="00830B17"/>
    <w:rsid w:val="008311FD"/>
    <w:rsid w:val="00831DFD"/>
    <w:rsid w:val="008353B9"/>
    <w:rsid w:val="00837AB3"/>
    <w:rsid w:val="00841EB1"/>
    <w:rsid w:val="00842D5F"/>
    <w:rsid w:val="00844FEC"/>
    <w:rsid w:val="008461F3"/>
    <w:rsid w:val="008475B6"/>
    <w:rsid w:val="00850C68"/>
    <w:rsid w:val="00852109"/>
    <w:rsid w:val="00853E3F"/>
    <w:rsid w:val="00854491"/>
    <w:rsid w:val="00854AB1"/>
    <w:rsid w:val="008565CF"/>
    <w:rsid w:val="00856801"/>
    <w:rsid w:val="00856EA3"/>
    <w:rsid w:val="00863387"/>
    <w:rsid w:val="00864442"/>
    <w:rsid w:val="008647EF"/>
    <w:rsid w:val="00864CFB"/>
    <w:rsid w:val="00865366"/>
    <w:rsid w:val="0086610A"/>
    <w:rsid w:val="00867303"/>
    <w:rsid w:val="00871129"/>
    <w:rsid w:val="008724C3"/>
    <w:rsid w:val="00872D75"/>
    <w:rsid w:val="00873881"/>
    <w:rsid w:val="008746C1"/>
    <w:rsid w:val="00875076"/>
    <w:rsid w:val="00880079"/>
    <w:rsid w:val="00881F89"/>
    <w:rsid w:val="00882ADE"/>
    <w:rsid w:val="008838AD"/>
    <w:rsid w:val="00883CA6"/>
    <w:rsid w:val="008862D7"/>
    <w:rsid w:val="00886E13"/>
    <w:rsid w:val="0088792C"/>
    <w:rsid w:val="00890261"/>
    <w:rsid w:val="00892307"/>
    <w:rsid w:val="008928B3"/>
    <w:rsid w:val="008A434E"/>
    <w:rsid w:val="008A5742"/>
    <w:rsid w:val="008A702E"/>
    <w:rsid w:val="008B0E4D"/>
    <w:rsid w:val="008B280F"/>
    <w:rsid w:val="008B2E87"/>
    <w:rsid w:val="008B3B70"/>
    <w:rsid w:val="008B3CAD"/>
    <w:rsid w:val="008B43EC"/>
    <w:rsid w:val="008B5464"/>
    <w:rsid w:val="008B7A0C"/>
    <w:rsid w:val="008C265B"/>
    <w:rsid w:val="008C2FF6"/>
    <w:rsid w:val="008C3CC4"/>
    <w:rsid w:val="008C7E33"/>
    <w:rsid w:val="008D1479"/>
    <w:rsid w:val="008D1499"/>
    <w:rsid w:val="008D31B5"/>
    <w:rsid w:val="008D41FE"/>
    <w:rsid w:val="008D4977"/>
    <w:rsid w:val="008D4E8B"/>
    <w:rsid w:val="008E00E8"/>
    <w:rsid w:val="008E4AF7"/>
    <w:rsid w:val="008E4DC1"/>
    <w:rsid w:val="008E50BF"/>
    <w:rsid w:val="008E7D24"/>
    <w:rsid w:val="008F00F9"/>
    <w:rsid w:val="008F1692"/>
    <w:rsid w:val="008F1D5E"/>
    <w:rsid w:val="008F299E"/>
    <w:rsid w:val="008F4F45"/>
    <w:rsid w:val="009000C9"/>
    <w:rsid w:val="00905AC3"/>
    <w:rsid w:val="00905BD1"/>
    <w:rsid w:val="00910C38"/>
    <w:rsid w:val="00912540"/>
    <w:rsid w:val="00917A88"/>
    <w:rsid w:val="00921001"/>
    <w:rsid w:val="00921363"/>
    <w:rsid w:val="00922D8B"/>
    <w:rsid w:val="009237D1"/>
    <w:rsid w:val="0092385D"/>
    <w:rsid w:val="00923877"/>
    <w:rsid w:val="00925C62"/>
    <w:rsid w:val="009267A5"/>
    <w:rsid w:val="00932690"/>
    <w:rsid w:val="00932A0D"/>
    <w:rsid w:val="0093577B"/>
    <w:rsid w:val="00936347"/>
    <w:rsid w:val="00937486"/>
    <w:rsid w:val="00941BA0"/>
    <w:rsid w:val="00942D0A"/>
    <w:rsid w:val="00943376"/>
    <w:rsid w:val="009441F6"/>
    <w:rsid w:val="00944998"/>
    <w:rsid w:val="009459C8"/>
    <w:rsid w:val="00945EAC"/>
    <w:rsid w:val="00946532"/>
    <w:rsid w:val="00946E32"/>
    <w:rsid w:val="00947C6A"/>
    <w:rsid w:val="00952419"/>
    <w:rsid w:val="009525A7"/>
    <w:rsid w:val="0095351D"/>
    <w:rsid w:val="009538F5"/>
    <w:rsid w:val="00957038"/>
    <w:rsid w:val="00957A64"/>
    <w:rsid w:val="00957DA3"/>
    <w:rsid w:val="00966271"/>
    <w:rsid w:val="00967987"/>
    <w:rsid w:val="00970BF5"/>
    <w:rsid w:val="00972652"/>
    <w:rsid w:val="00973132"/>
    <w:rsid w:val="00973476"/>
    <w:rsid w:val="00973B05"/>
    <w:rsid w:val="00974D5A"/>
    <w:rsid w:val="00976152"/>
    <w:rsid w:val="00976381"/>
    <w:rsid w:val="009775F6"/>
    <w:rsid w:val="0098099C"/>
    <w:rsid w:val="0098229A"/>
    <w:rsid w:val="00983426"/>
    <w:rsid w:val="00983A08"/>
    <w:rsid w:val="0098417C"/>
    <w:rsid w:val="0098714D"/>
    <w:rsid w:val="00987AC7"/>
    <w:rsid w:val="00990691"/>
    <w:rsid w:val="00992439"/>
    <w:rsid w:val="00992E85"/>
    <w:rsid w:val="0099348D"/>
    <w:rsid w:val="00993F1A"/>
    <w:rsid w:val="009958D7"/>
    <w:rsid w:val="00996909"/>
    <w:rsid w:val="009A01AD"/>
    <w:rsid w:val="009A1C10"/>
    <w:rsid w:val="009A2D18"/>
    <w:rsid w:val="009A5E37"/>
    <w:rsid w:val="009A6462"/>
    <w:rsid w:val="009B230B"/>
    <w:rsid w:val="009B53B1"/>
    <w:rsid w:val="009B58F9"/>
    <w:rsid w:val="009C0546"/>
    <w:rsid w:val="009C245F"/>
    <w:rsid w:val="009C2AD4"/>
    <w:rsid w:val="009C346C"/>
    <w:rsid w:val="009D0762"/>
    <w:rsid w:val="009D66D2"/>
    <w:rsid w:val="009E286E"/>
    <w:rsid w:val="009E2FF8"/>
    <w:rsid w:val="009E67F5"/>
    <w:rsid w:val="009E775D"/>
    <w:rsid w:val="009F59AE"/>
    <w:rsid w:val="009F68BE"/>
    <w:rsid w:val="009F691F"/>
    <w:rsid w:val="009F7681"/>
    <w:rsid w:val="009F7A29"/>
    <w:rsid w:val="009F7B36"/>
    <w:rsid w:val="00A01146"/>
    <w:rsid w:val="00A0127A"/>
    <w:rsid w:val="00A02626"/>
    <w:rsid w:val="00A02B42"/>
    <w:rsid w:val="00A05854"/>
    <w:rsid w:val="00A05F2C"/>
    <w:rsid w:val="00A065BA"/>
    <w:rsid w:val="00A0761F"/>
    <w:rsid w:val="00A12900"/>
    <w:rsid w:val="00A12F19"/>
    <w:rsid w:val="00A1602B"/>
    <w:rsid w:val="00A17D93"/>
    <w:rsid w:val="00A207F1"/>
    <w:rsid w:val="00A20C7C"/>
    <w:rsid w:val="00A211B5"/>
    <w:rsid w:val="00A21A67"/>
    <w:rsid w:val="00A23B74"/>
    <w:rsid w:val="00A25DA2"/>
    <w:rsid w:val="00A3011E"/>
    <w:rsid w:val="00A31D14"/>
    <w:rsid w:val="00A31E73"/>
    <w:rsid w:val="00A32064"/>
    <w:rsid w:val="00A321DF"/>
    <w:rsid w:val="00A36FB5"/>
    <w:rsid w:val="00A37809"/>
    <w:rsid w:val="00A416F5"/>
    <w:rsid w:val="00A41857"/>
    <w:rsid w:val="00A42BFB"/>
    <w:rsid w:val="00A42DD3"/>
    <w:rsid w:val="00A431B9"/>
    <w:rsid w:val="00A43339"/>
    <w:rsid w:val="00A4590B"/>
    <w:rsid w:val="00A45A5C"/>
    <w:rsid w:val="00A47682"/>
    <w:rsid w:val="00A53B92"/>
    <w:rsid w:val="00A53F23"/>
    <w:rsid w:val="00A54926"/>
    <w:rsid w:val="00A61066"/>
    <w:rsid w:val="00A6213A"/>
    <w:rsid w:val="00A63498"/>
    <w:rsid w:val="00A63A98"/>
    <w:rsid w:val="00A6740F"/>
    <w:rsid w:val="00A67A6A"/>
    <w:rsid w:val="00A72E09"/>
    <w:rsid w:val="00A80F7C"/>
    <w:rsid w:val="00A832A7"/>
    <w:rsid w:val="00A870FE"/>
    <w:rsid w:val="00A87FA6"/>
    <w:rsid w:val="00A901CC"/>
    <w:rsid w:val="00A90CBF"/>
    <w:rsid w:val="00A93FA4"/>
    <w:rsid w:val="00A93FAC"/>
    <w:rsid w:val="00AA0254"/>
    <w:rsid w:val="00AA03C3"/>
    <w:rsid w:val="00AA1859"/>
    <w:rsid w:val="00AA3AC1"/>
    <w:rsid w:val="00AA3D2A"/>
    <w:rsid w:val="00AA6A6C"/>
    <w:rsid w:val="00AA73B8"/>
    <w:rsid w:val="00AA7988"/>
    <w:rsid w:val="00AA7FA7"/>
    <w:rsid w:val="00AB0FCE"/>
    <w:rsid w:val="00AB4B72"/>
    <w:rsid w:val="00AB68A2"/>
    <w:rsid w:val="00AC2900"/>
    <w:rsid w:val="00AC61F9"/>
    <w:rsid w:val="00AD1B11"/>
    <w:rsid w:val="00AD1D43"/>
    <w:rsid w:val="00AD1EB1"/>
    <w:rsid w:val="00AD7A40"/>
    <w:rsid w:val="00AE0A10"/>
    <w:rsid w:val="00AE0B2B"/>
    <w:rsid w:val="00AE1472"/>
    <w:rsid w:val="00AE15FC"/>
    <w:rsid w:val="00AE1BE5"/>
    <w:rsid w:val="00AE6A6E"/>
    <w:rsid w:val="00AF4D26"/>
    <w:rsid w:val="00B007E5"/>
    <w:rsid w:val="00B00C9D"/>
    <w:rsid w:val="00B0785F"/>
    <w:rsid w:val="00B10984"/>
    <w:rsid w:val="00B1295C"/>
    <w:rsid w:val="00B132C9"/>
    <w:rsid w:val="00B14D0B"/>
    <w:rsid w:val="00B17815"/>
    <w:rsid w:val="00B22A1D"/>
    <w:rsid w:val="00B245D1"/>
    <w:rsid w:val="00B31A72"/>
    <w:rsid w:val="00B31A98"/>
    <w:rsid w:val="00B33547"/>
    <w:rsid w:val="00B37211"/>
    <w:rsid w:val="00B40CA0"/>
    <w:rsid w:val="00B41C91"/>
    <w:rsid w:val="00B42398"/>
    <w:rsid w:val="00B427A4"/>
    <w:rsid w:val="00B4283D"/>
    <w:rsid w:val="00B43373"/>
    <w:rsid w:val="00B43A15"/>
    <w:rsid w:val="00B43EB7"/>
    <w:rsid w:val="00B4606A"/>
    <w:rsid w:val="00B46109"/>
    <w:rsid w:val="00B47352"/>
    <w:rsid w:val="00B47771"/>
    <w:rsid w:val="00B5074F"/>
    <w:rsid w:val="00B54472"/>
    <w:rsid w:val="00B5636C"/>
    <w:rsid w:val="00B56E0C"/>
    <w:rsid w:val="00B619F6"/>
    <w:rsid w:val="00B62107"/>
    <w:rsid w:val="00B627F6"/>
    <w:rsid w:val="00B64F17"/>
    <w:rsid w:val="00B65009"/>
    <w:rsid w:val="00B65B71"/>
    <w:rsid w:val="00B67967"/>
    <w:rsid w:val="00B67B54"/>
    <w:rsid w:val="00B73408"/>
    <w:rsid w:val="00B740EB"/>
    <w:rsid w:val="00B74C84"/>
    <w:rsid w:val="00B75473"/>
    <w:rsid w:val="00B75B96"/>
    <w:rsid w:val="00B75D32"/>
    <w:rsid w:val="00B75E25"/>
    <w:rsid w:val="00B771F7"/>
    <w:rsid w:val="00B80BB1"/>
    <w:rsid w:val="00B82D59"/>
    <w:rsid w:val="00B869BB"/>
    <w:rsid w:val="00B9120C"/>
    <w:rsid w:val="00B96D57"/>
    <w:rsid w:val="00BA5316"/>
    <w:rsid w:val="00BA7B16"/>
    <w:rsid w:val="00BB231A"/>
    <w:rsid w:val="00BB422F"/>
    <w:rsid w:val="00BB6AAE"/>
    <w:rsid w:val="00BB7DDF"/>
    <w:rsid w:val="00BC320D"/>
    <w:rsid w:val="00BC3792"/>
    <w:rsid w:val="00BC39C5"/>
    <w:rsid w:val="00BC3B73"/>
    <w:rsid w:val="00BC3C95"/>
    <w:rsid w:val="00BC4692"/>
    <w:rsid w:val="00BC5A52"/>
    <w:rsid w:val="00BD1FAD"/>
    <w:rsid w:val="00BD53F8"/>
    <w:rsid w:val="00BD55C5"/>
    <w:rsid w:val="00BD7004"/>
    <w:rsid w:val="00BD74F8"/>
    <w:rsid w:val="00BE0394"/>
    <w:rsid w:val="00BE03FD"/>
    <w:rsid w:val="00BE1EE5"/>
    <w:rsid w:val="00BE6570"/>
    <w:rsid w:val="00BE7193"/>
    <w:rsid w:val="00BE7C1F"/>
    <w:rsid w:val="00BE7C26"/>
    <w:rsid w:val="00BF3B29"/>
    <w:rsid w:val="00BF3EDF"/>
    <w:rsid w:val="00BF720F"/>
    <w:rsid w:val="00BF7406"/>
    <w:rsid w:val="00C00061"/>
    <w:rsid w:val="00C01C50"/>
    <w:rsid w:val="00C0238B"/>
    <w:rsid w:val="00C04DFA"/>
    <w:rsid w:val="00C06AFA"/>
    <w:rsid w:val="00C10464"/>
    <w:rsid w:val="00C10AD6"/>
    <w:rsid w:val="00C11DF9"/>
    <w:rsid w:val="00C135B5"/>
    <w:rsid w:val="00C1455D"/>
    <w:rsid w:val="00C211B2"/>
    <w:rsid w:val="00C217B3"/>
    <w:rsid w:val="00C261CC"/>
    <w:rsid w:val="00C26A52"/>
    <w:rsid w:val="00C27099"/>
    <w:rsid w:val="00C27A1D"/>
    <w:rsid w:val="00C35133"/>
    <w:rsid w:val="00C36116"/>
    <w:rsid w:val="00C37D7C"/>
    <w:rsid w:val="00C40877"/>
    <w:rsid w:val="00C40F0D"/>
    <w:rsid w:val="00C41C71"/>
    <w:rsid w:val="00C43D06"/>
    <w:rsid w:val="00C443D8"/>
    <w:rsid w:val="00C463FB"/>
    <w:rsid w:val="00C46CB1"/>
    <w:rsid w:val="00C50D9A"/>
    <w:rsid w:val="00C542AE"/>
    <w:rsid w:val="00C56E48"/>
    <w:rsid w:val="00C6338A"/>
    <w:rsid w:val="00C656F8"/>
    <w:rsid w:val="00C70530"/>
    <w:rsid w:val="00C70708"/>
    <w:rsid w:val="00C720B0"/>
    <w:rsid w:val="00C72641"/>
    <w:rsid w:val="00C737FD"/>
    <w:rsid w:val="00C7616E"/>
    <w:rsid w:val="00C76A83"/>
    <w:rsid w:val="00C80160"/>
    <w:rsid w:val="00C8072A"/>
    <w:rsid w:val="00C81DA2"/>
    <w:rsid w:val="00C84556"/>
    <w:rsid w:val="00C8483D"/>
    <w:rsid w:val="00C862BE"/>
    <w:rsid w:val="00C90514"/>
    <w:rsid w:val="00C95625"/>
    <w:rsid w:val="00C96908"/>
    <w:rsid w:val="00CA1D0F"/>
    <w:rsid w:val="00CA1DBA"/>
    <w:rsid w:val="00CA448C"/>
    <w:rsid w:val="00CA4FD6"/>
    <w:rsid w:val="00CA6FFC"/>
    <w:rsid w:val="00CA7216"/>
    <w:rsid w:val="00CB0F72"/>
    <w:rsid w:val="00CB10DE"/>
    <w:rsid w:val="00CB18CE"/>
    <w:rsid w:val="00CC0F03"/>
    <w:rsid w:val="00CC18BC"/>
    <w:rsid w:val="00CC4969"/>
    <w:rsid w:val="00CC4BE5"/>
    <w:rsid w:val="00CC5399"/>
    <w:rsid w:val="00CD187A"/>
    <w:rsid w:val="00CD3461"/>
    <w:rsid w:val="00CD4253"/>
    <w:rsid w:val="00CD5384"/>
    <w:rsid w:val="00CD6251"/>
    <w:rsid w:val="00CD658B"/>
    <w:rsid w:val="00CE0DDB"/>
    <w:rsid w:val="00CE1412"/>
    <w:rsid w:val="00CE3BDD"/>
    <w:rsid w:val="00CE5992"/>
    <w:rsid w:val="00CE6F54"/>
    <w:rsid w:val="00CE7054"/>
    <w:rsid w:val="00CE77A7"/>
    <w:rsid w:val="00CF0DB5"/>
    <w:rsid w:val="00CF3AEB"/>
    <w:rsid w:val="00CF45BE"/>
    <w:rsid w:val="00CF53A7"/>
    <w:rsid w:val="00CF6484"/>
    <w:rsid w:val="00CF7EDD"/>
    <w:rsid w:val="00D02001"/>
    <w:rsid w:val="00D04604"/>
    <w:rsid w:val="00D10817"/>
    <w:rsid w:val="00D1410E"/>
    <w:rsid w:val="00D17E83"/>
    <w:rsid w:val="00D2045F"/>
    <w:rsid w:val="00D20F4C"/>
    <w:rsid w:val="00D21C1E"/>
    <w:rsid w:val="00D21DF0"/>
    <w:rsid w:val="00D24091"/>
    <w:rsid w:val="00D25B1F"/>
    <w:rsid w:val="00D32632"/>
    <w:rsid w:val="00D35F4A"/>
    <w:rsid w:val="00D37A64"/>
    <w:rsid w:val="00D44CC8"/>
    <w:rsid w:val="00D452F9"/>
    <w:rsid w:val="00D4671A"/>
    <w:rsid w:val="00D479F6"/>
    <w:rsid w:val="00D51034"/>
    <w:rsid w:val="00D55835"/>
    <w:rsid w:val="00D570A9"/>
    <w:rsid w:val="00D60940"/>
    <w:rsid w:val="00D614B5"/>
    <w:rsid w:val="00D644C9"/>
    <w:rsid w:val="00D64EEA"/>
    <w:rsid w:val="00D66821"/>
    <w:rsid w:val="00D6683F"/>
    <w:rsid w:val="00D70455"/>
    <w:rsid w:val="00D70777"/>
    <w:rsid w:val="00D70BFD"/>
    <w:rsid w:val="00D70D7C"/>
    <w:rsid w:val="00D7133E"/>
    <w:rsid w:val="00D71417"/>
    <w:rsid w:val="00D722B8"/>
    <w:rsid w:val="00D75731"/>
    <w:rsid w:val="00D76A34"/>
    <w:rsid w:val="00D83EDA"/>
    <w:rsid w:val="00D849E7"/>
    <w:rsid w:val="00D87D3E"/>
    <w:rsid w:val="00D904AA"/>
    <w:rsid w:val="00D94D01"/>
    <w:rsid w:val="00DA0674"/>
    <w:rsid w:val="00DA1203"/>
    <w:rsid w:val="00DA2DBC"/>
    <w:rsid w:val="00DA47BF"/>
    <w:rsid w:val="00DA51C0"/>
    <w:rsid w:val="00DA6450"/>
    <w:rsid w:val="00DB11FB"/>
    <w:rsid w:val="00DB54F5"/>
    <w:rsid w:val="00DB70D3"/>
    <w:rsid w:val="00DC0FB2"/>
    <w:rsid w:val="00DC18F8"/>
    <w:rsid w:val="00DC3737"/>
    <w:rsid w:val="00DC47CF"/>
    <w:rsid w:val="00DC5A81"/>
    <w:rsid w:val="00DC6587"/>
    <w:rsid w:val="00DC6806"/>
    <w:rsid w:val="00DD0276"/>
    <w:rsid w:val="00DD2B80"/>
    <w:rsid w:val="00DD2F67"/>
    <w:rsid w:val="00DD3209"/>
    <w:rsid w:val="00DD5C1F"/>
    <w:rsid w:val="00DD7528"/>
    <w:rsid w:val="00DE052C"/>
    <w:rsid w:val="00DE0CDC"/>
    <w:rsid w:val="00DE25F4"/>
    <w:rsid w:val="00DE3B83"/>
    <w:rsid w:val="00DE4119"/>
    <w:rsid w:val="00DE4C98"/>
    <w:rsid w:val="00DE6DEC"/>
    <w:rsid w:val="00DF0671"/>
    <w:rsid w:val="00DF5A42"/>
    <w:rsid w:val="00DF6815"/>
    <w:rsid w:val="00E0207A"/>
    <w:rsid w:val="00E03ECF"/>
    <w:rsid w:val="00E05982"/>
    <w:rsid w:val="00E06505"/>
    <w:rsid w:val="00E10085"/>
    <w:rsid w:val="00E101E7"/>
    <w:rsid w:val="00E10DCD"/>
    <w:rsid w:val="00E1134E"/>
    <w:rsid w:val="00E1349E"/>
    <w:rsid w:val="00E14390"/>
    <w:rsid w:val="00E14E98"/>
    <w:rsid w:val="00E21B47"/>
    <w:rsid w:val="00E223FA"/>
    <w:rsid w:val="00E22764"/>
    <w:rsid w:val="00E23396"/>
    <w:rsid w:val="00E25847"/>
    <w:rsid w:val="00E27E30"/>
    <w:rsid w:val="00E307BD"/>
    <w:rsid w:val="00E3175E"/>
    <w:rsid w:val="00E325C5"/>
    <w:rsid w:val="00E330FD"/>
    <w:rsid w:val="00E34071"/>
    <w:rsid w:val="00E36521"/>
    <w:rsid w:val="00E37071"/>
    <w:rsid w:val="00E412B0"/>
    <w:rsid w:val="00E41C49"/>
    <w:rsid w:val="00E43FE8"/>
    <w:rsid w:val="00E47142"/>
    <w:rsid w:val="00E511CD"/>
    <w:rsid w:val="00E512C2"/>
    <w:rsid w:val="00E530D4"/>
    <w:rsid w:val="00E53CF3"/>
    <w:rsid w:val="00E5484C"/>
    <w:rsid w:val="00E560C9"/>
    <w:rsid w:val="00E570E8"/>
    <w:rsid w:val="00E6068B"/>
    <w:rsid w:val="00E64A24"/>
    <w:rsid w:val="00E65345"/>
    <w:rsid w:val="00E6569B"/>
    <w:rsid w:val="00E65A9B"/>
    <w:rsid w:val="00E6619C"/>
    <w:rsid w:val="00E67EAF"/>
    <w:rsid w:val="00E714A2"/>
    <w:rsid w:val="00E76525"/>
    <w:rsid w:val="00E806E0"/>
    <w:rsid w:val="00E822C3"/>
    <w:rsid w:val="00E84699"/>
    <w:rsid w:val="00E91834"/>
    <w:rsid w:val="00E93042"/>
    <w:rsid w:val="00E94761"/>
    <w:rsid w:val="00E9476C"/>
    <w:rsid w:val="00E95552"/>
    <w:rsid w:val="00EA00D5"/>
    <w:rsid w:val="00EA0C85"/>
    <w:rsid w:val="00EA0FE1"/>
    <w:rsid w:val="00EA1884"/>
    <w:rsid w:val="00EA3666"/>
    <w:rsid w:val="00EA404D"/>
    <w:rsid w:val="00EA5112"/>
    <w:rsid w:val="00EB2D6E"/>
    <w:rsid w:val="00EB358C"/>
    <w:rsid w:val="00EB5B40"/>
    <w:rsid w:val="00EB7640"/>
    <w:rsid w:val="00EC3110"/>
    <w:rsid w:val="00EC4953"/>
    <w:rsid w:val="00EC5436"/>
    <w:rsid w:val="00EC5BE9"/>
    <w:rsid w:val="00EC5F48"/>
    <w:rsid w:val="00EC66D0"/>
    <w:rsid w:val="00ED1207"/>
    <w:rsid w:val="00ED3F6D"/>
    <w:rsid w:val="00EE2BB5"/>
    <w:rsid w:val="00EE447E"/>
    <w:rsid w:val="00EE44B2"/>
    <w:rsid w:val="00EE73F6"/>
    <w:rsid w:val="00EF03DC"/>
    <w:rsid w:val="00EF32F4"/>
    <w:rsid w:val="00EF53F4"/>
    <w:rsid w:val="00EF76D5"/>
    <w:rsid w:val="00F015E5"/>
    <w:rsid w:val="00F01F0D"/>
    <w:rsid w:val="00F054B4"/>
    <w:rsid w:val="00F11193"/>
    <w:rsid w:val="00F12638"/>
    <w:rsid w:val="00F137B0"/>
    <w:rsid w:val="00F15B2D"/>
    <w:rsid w:val="00F209B0"/>
    <w:rsid w:val="00F23410"/>
    <w:rsid w:val="00F272D3"/>
    <w:rsid w:val="00F27DA3"/>
    <w:rsid w:val="00F31019"/>
    <w:rsid w:val="00F31A93"/>
    <w:rsid w:val="00F32DFF"/>
    <w:rsid w:val="00F3783F"/>
    <w:rsid w:val="00F37A3E"/>
    <w:rsid w:val="00F4145A"/>
    <w:rsid w:val="00F42F0F"/>
    <w:rsid w:val="00F43C71"/>
    <w:rsid w:val="00F44450"/>
    <w:rsid w:val="00F44599"/>
    <w:rsid w:val="00F4516C"/>
    <w:rsid w:val="00F45222"/>
    <w:rsid w:val="00F52CD4"/>
    <w:rsid w:val="00F5322A"/>
    <w:rsid w:val="00F567A2"/>
    <w:rsid w:val="00F576EE"/>
    <w:rsid w:val="00F6355D"/>
    <w:rsid w:val="00F676E2"/>
    <w:rsid w:val="00F679B4"/>
    <w:rsid w:val="00F7141F"/>
    <w:rsid w:val="00F72CBE"/>
    <w:rsid w:val="00F7345F"/>
    <w:rsid w:val="00F7371E"/>
    <w:rsid w:val="00F751B0"/>
    <w:rsid w:val="00F802F7"/>
    <w:rsid w:val="00F81DBA"/>
    <w:rsid w:val="00F83856"/>
    <w:rsid w:val="00F83EEF"/>
    <w:rsid w:val="00F872A1"/>
    <w:rsid w:val="00F876BB"/>
    <w:rsid w:val="00F9319E"/>
    <w:rsid w:val="00F938E6"/>
    <w:rsid w:val="00FA01F5"/>
    <w:rsid w:val="00FA1849"/>
    <w:rsid w:val="00FA35CF"/>
    <w:rsid w:val="00FA3DE5"/>
    <w:rsid w:val="00FA4786"/>
    <w:rsid w:val="00FA5B26"/>
    <w:rsid w:val="00FB3EEE"/>
    <w:rsid w:val="00FB45FF"/>
    <w:rsid w:val="00FB7D75"/>
    <w:rsid w:val="00FC1F89"/>
    <w:rsid w:val="00FC2840"/>
    <w:rsid w:val="00FC3D85"/>
    <w:rsid w:val="00FD0233"/>
    <w:rsid w:val="00FD05AF"/>
    <w:rsid w:val="00FD17F5"/>
    <w:rsid w:val="00FD2968"/>
    <w:rsid w:val="00FD46E6"/>
    <w:rsid w:val="00FD6262"/>
    <w:rsid w:val="00FE02CB"/>
    <w:rsid w:val="00FE0848"/>
    <w:rsid w:val="00FE11EB"/>
    <w:rsid w:val="00FE35DB"/>
    <w:rsid w:val="00FE3C9A"/>
    <w:rsid w:val="00FE4554"/>
    <w:rsid w:val="00FE52A0"/>
    <w:rsid w:val="00FE6297"/>
    <w:rsid w:val="00FF31F7"/>
    <w:rsid w:val="00FF359E"/>
    <w:rsid w:val="00FF5FD8"/>
    <w:rsid w:val="00FF60F7"/>
    <w:rsid w:val="00FF6DA2"/>
    <w:rsid w:val="00FF7197"/>
    <w:rsid w:val="01193ABA"/>
    <w:rsid w:val="017311EE"/>
    <w:rsid w:val="02A44DE3"/>
    <w:rsid w:val="03602F97"/>
    <w:rsid w:val="038F6065"/>
    <w:rsid w:val="03F6348B"/>
    <w:rsid w:val="05382B9E"/>
    <w:rsid w:val="05CD6914"/>
    <w:rsid w:val="06626E08"/>
    <w:rsid w:val="069F4BA0"/>
    <w:rsid w:val="06E92564"/>
    <w:rsid w:val="09257910"/>
    <w:rsid w:val="09C23012"/>
    <w:rsid w:val="0A631516"/>
    <w:rsid w:val="0B7216D3"/>
    <w:rsid w:val="0C154760"/>
    <w:rsid w:val="0C8C48B6"/>
    <w:rsid w:val="0CD04E93"/>
    <w:rsid w:val="0DBB3B97"/>
    <w:rsid w:val="0F131BCA"/>
    <w:rsid w:val="0F4F61AB"/>
    <w:rsid w:val="1093553E"/>
    <w:rsid w:val="11612713"/>
    <w:rsid w:val="11655896"/>
    <w:rsid w:val="11F12EFC"/>
    <w:rsid w:val="1251201C"/>
    <w:rsid w:val="13D26C95"/>
    <w:rsid w:val="14BF1D95"/>
    <w:rsid w:val="15BD7ABA"/>
    <w:rsid w:val="15C9134E"/>
    <w:rsid w:val="1703454E"/>
    <w:rsid w:val="1750464D"/>
    <w:rsid w:val="17B111EE"/>
    <w:rsid w:val="180F3786"/>
    <w:rsid w:val="18361447"/>
    <w:rsid w:val="19744352"/>
    <w:rsid w:val="1A143D63"/>
    <w:rsid w:val="1C0D456A"/>
    <w:rsid w:val="1C4B0278"/>
    <w:rsid w:val="1CA62F10"/>
    <w:rsid w:val="1CE13FEE"/>
    <w:rsid w:val="1D5B15BA"/>
    <w:rsid w:val="1D87369F"/>
    <w:rsid w:val="1E181AED"/>
    <w:rsid w:val="21590CC5"/>
    <w:rsid w:val="217F656B"/>
    <w:rsid w:val="21DE311D"/>
    <w:rsid w:val="226755FF"/>
    <w:rsid w:val="236C162A"/>
    <w:rsid w:val="23AF16FC"/>
    <w:rsid w:val="243954FA"/>
    <w:rsid w:val="24AC6EC1"/>
    <w:rsid w:val="25D6079F"/>
    <w:rsid w:val="26770328"/>
    <w:rsid w:val="27CE415D"/>
    <w:rsid w:val="27DA59F1"/>
    <w:rsid w:val="27DE0B74"/>
    <w:rsid w:val="28BB2AE0"/>
    <w:rsid w:val="29EA0389"/>
    <w:rsid w:val="2A074C7E"/>
    <w:rsid w:val="2BA412AA"/>
    <w:rsid w:val="2BD678D3"/>
    <w:rsid w:val="2C317E69"/>
    <w:rsid w:val="2C5A1CD2"/>
    <w:rsid w:val="2CFE27E0"/>
    <w:rsid w:val="2D216218"/>
    <w:rsid w:val="2D584173"/>
    <w:rsid w:val="2DD07EF8"/>
    <w:rsid w:val="2EB90565"/>
    <w:rsid w:val="2F4D5528"/>
    <w:rsid w:val="2F683B53"/>
    <w:rsid w:val="3068756E"/>
    <w:rsid w:val="316A35E7"/>
    <w:rsid w:val="33FB26D9"/>
    <w:rsid w:val="34673F86"/>
    <w:rsid w:val="34933B51"/>
    <w:rsid w:val="3585695C"/>
    <w:rsid w:val="35AB0D9A"/>
    <w:rsid w:val="35B03024"/>
    <w:rsid w:val="36BB587A"/>
    <w:rsid w:val="376E647C"/>
    <w:rsid w:val="37F24623"/>
    <w:rsid w:val="37FB7365"/>
    <w:rsid w:val="381A520C"/>
    <w:rsid w:val="38EC7F72"/>
    <w:rsid w:val="391772AE"/>
    <w:rsid w:val="399A6E11"/>
    <w:rsid w:val="3A0F6DD0"/>
    <w:rsid w:val="3B381D36"/>
    <w:rsid w:val="3BB13F7E"/>
    <w:rsid w:val="3DEC0025"/>
    <w:rsid w:val="3E137EE5"/>
    <w:rsid w:val="3ECD629A"/>
    <w:rsid w:val="3ECF6099"/>
    <w:rsid w:val="3F4D0EE6"/>
    <w:rsid w:val="403646E7"/>
    <w:rsid w:val="411E2466"/>
    <w:rsid w:val="41336B88"/>
    <w:rsid w:val="442126D3"/>
    <w:rsid w:val="44304F4A"/>
    <w:rsid w:val="44B82D6D"/>
    <w:rsid w:val="484F022F"/>
    <w:rsid w:val="48E32CA1"/>
    <w:rsid w:val="49D954E4"/>
    <w:rsid w:val="4A2645B2"/>
    <w:rsid w:val="4ABA28A7"/>
    <w:rsid w:val="4B676243"/>
    <w:rsid w:val="4C0473C6"/>
    <w:rsid w:val="4C28087F"/>
    <w:rsid w:val="4C2D6F06"/>
    <w:rsid w:val="4C5E0D5A"/>
    <w:rsid w:val="4F26106D"/>
    <w:rsid w:val="50186577"/>
    <w:rsid w:val="5186674D"/>
    <w:rsid w:val="519669E8"/>
    <w:rsid w:val="51987CEC"/>
    <w:rsid w:val="51A76285"/>
    <w:rsid w:val="51E6586D"/>
    <w:rsid w:val="52396542"/>
    <w:rsid w:val="53B31E23"/>
    <w:rsid w:val="53E030A9"/>
    <w:rsid w:val="542E1697"/>
    <w:rsid w:val="55366473"/>
    <w:rsid w:val="573C2AAB"/>
    <w:rsid w:val="58C106A9"/>
    <w:rsid w:val="5ABB3509"/>
    <w:rsid w:val="5C190168"/>
    <w:rsid w:val="5CAD7C3B"/>
    <w:rsid w:val="5D7706E8"/>
    <w:rsid w:val="5E0C0BDB"/>
    <w:rsid w:val="60A7051F"/>
    <w:rsid w:val="6110204A"/>
    <w:rsid w:val="61293077"/>
    <w:rsid w:val="627A7021"/>
    <w:rsid w:val="6344466B"/>
    <w:rsid w:val="63E92BFA"/>
    <w:rsid w:val="63F56A0D"/>
    <w:rsid w:val="646D53D2"/>
    <w:rsid w:val="64777EE0"/>
    <w:rsid w:val="65D2271B"/>
    <w:rsid w:val="66651C8A"/>
    <w:rsid w:val="66EE416C"/>
    <w:rsid w:val="67192A32"/>
    <w:rsid w:val="67D33406"/>
    <w:rsid w:val="684E08B0"/>
    <w:rsid w:val="68814823"/>
    <w:rsid w:val="68CB7E7A"/>
    <w:rsid w:val="6AE43D6D"/>
    <w:rsid w:val="6B3C6B6E"/>
    <w:rsid w:val="6FE3663E"/>
    <w:rsid w:val="70AA7FB6"/>
    <w:rsid w:val="72E21289"/>
    <w:rsid w:val="73460FAE"/>
    <w:rsid w:val="73F5204B"/>
    <w:rsid w:val="74347E31"/>
    <w:rsid w:val="748F004B"/>
    <w:rsid w:val="74F457F1"/>
    <w:rsid w:val="75853A5B"/>
    <w:rsid w:val="76DD5312"/>
    <w:rsid w:val="77C63091"/>
    <w:rsid w:val="77DB50DA"/>
    <w:rsid w:val="77E34BBF"/>
    <w:rsid w:val="77FE0C6C"/>
    <w:rsid w:val="782D615E"/>
    <w:rsid w:val="78353345"/>
    <w:rsid w:val="79F65524"/>
    <w:rsid w:val="7A525C3E"/>
    <w:rsid w:val="7A78007C"/>
    <w:rsid w:val="7BF42DEB"/>
    <w:rsid w:val="7CA266A8"/>
    <w:rsid w:val="7D2D0569"/>
    <w:rsid w:val="7F1174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3">
    <w:name w:val="heading 2"/>
    <w:basedOn w:val="1"/>
    <w:next w:val="1"/>
    <w:qFormat/>
    <w:uiPriority w:val="0"/>
    <w:pPr>
      <w:keepNext/>
      <w:keepLines/>
      <w:adjustRightInd w:val="0"/>
      <w:spacing w:before="260" w:after="260" w:line="416" w:lineRule="atLeast"/>
      <w:jc w:val="left"/>
      <w:outlineLvl w:val="1"/>
    </w:pPr>
    <w:rPr>
      <w:rFonts w:ascii="Arial" w:hAnsi="Arial" w:eastAsia="黑体"/>
      <w:b/>
      <w:bCs/>
      <w:kern w:val="0"/>
      <w:sz w:val="32"/>
      <w:szCs w:val="32"/>
    </w:rPr>
  </w:style>
  <w:style w:type="paragraph" w:styleId="4">
    <w:name w:val="heading 3"/>
    <w:basedOn w:val="1"/>
    <w:next w:val="1"/>
    <w:qFormat/>
    <w:uiPriority w:val="0"/>
    <w:pPr>
      <w:keepNext/>
      <w:keepLines/>
      <w:numPr>
        <w:ilvl w:val="2"/>
        <w:numId w:val="1"/>
      </w:numPr>
      <w:adjustRightInd w:val="0"/>
      <w:spacing w:before="260" w:after="260" w:line="416" w:lineRule="atLeast"/>
      <w:jc w:val="left"/>
      <w:outlineLvl w:val="2"/>
    </w:pPr>
    <w:rPr>
      <w:b/>
      <w:bCs/>
      <w:kern w:val="0"/>
      <w:sz w:val="32"/>
      <w:szCs w:val="32"/>
    </w:rPr>
  </w:style>
  <w:style w:type="paragraph" w:styleId="5">
    <w:name w:val="heading 4"/>
    <w:basedOn w:val="1"/>
    <w:next w:val="1"/>
    <w:qFormat/>
    <w:uiPriority w:val="0"/>
    <w:pPr>
      <w:keepNext/>
      <w:keepLines/>
      <w:numPr>
        <w:ilvl w:val="3"/>
        <w:numId w:val="1"/>
      </w:numPr>
      <w:adjustRightInd w:val="0"/>
      <w:spacing w:before="280" w:after="290" w:line="376" w:lineRule="atLeast"/>
      <w:jc w:val="left"/>
      <w:outlineLvl w:val="3"/>
    </w:pPr>
    <w:rPr>
      <w:rFonts w:ascii="Arial" w:hAnsi="Arial" w:eastAsia="黑体"/>
      <w:b/>
      <w:bCs/>
      <w:kern w:val="0"/>
      <w:sz w:val="28"/>
      <w:szCs w:val="28"/>
    </w:rPr>
  </w:style>
  <w:style w:type="paragraph" w:styleId="6">
    <w:name w:val="heading 5"/>
    <w:basedOn w:val="1"/>
    <w:next w:val="1"/>
    <w:qFormat/>
    <w:uiPriority w:val="0"/>
    <w:pPr>
      <w:keepNext/>
      <w:keepLines/>
      <w:numPr>
        <w:ilvl w:val="4"/>
        <w:numId w:val="1"/>
      </w:numPr>
      <w:adjustRightInd w:val="0"/>
      <w:spacing w:before="280" w:after="290" w:line="376" w:lineRule="atLeast"/>
      <w:jc w:val="left"/>
      <w:outlineLvl w:val="4"/>
    </w:pPr>
    <w:rPr>
      <w:b/>
      <w:bCs/>
      <w:kern w:val="0"/>
      <w:sz w:val="28"/>
      <w:szCs w:val="28"/>
    </w:rPr>
  </w:style>
  <w:style w:type="paragraph" w:styleId="7">
    <w:name w:val="heading 6"/>
    <w:basedOn w:val="1"/>
    <w:next w:val="1"/>
    <w:qFormat/>
    <w:uiPriority w:val="0"/>
    <w:pPr>
      <w:keepNext/>
      <w:keepLines/>
      <w:numPr>
        <w:ilvl w:val="5"/>
        <w:numId w:val="1"/>
      </w:numPr>
      <w:adjustRightInd w:val="0"/>
      <w:spacing w:before="240" w:after="64" w:line="320" w:lineRule="atLeast"/>
      <w:jc w:val="left"/>
      <w:outlineLvl w:val="5"/>
    </w:pPr>
    <w:rPr>
      <w:rFonts w:ascii="Arial" w:hAnsi="Arial" w:eastAsia="黑体"/>
      <w:b/>
      <w:bCs/>
      <w:kern w:val="0"/>
      <w:sz w:val="24"/>
    </w:rPr>
  </w:style>
  <w:style w:type="paragraph" w:styleId="8">
    <w:name w:val="heading 7"/>
    <w:basedOn w:val="1"/>
    <w:next w:val="1"/>
    <w:qFormat/>
    <w:uiPriority w:val="0"/>
    <w:pPr>
      <w:keepNext/>
      <w:keepLines/>
      <w:numPr>
        <w:ilvl w:val="6"/>
        <w:numId w:val="1"/>
      </w:numPr>
      <w:adjustRightInd w:val="0"/>
      <w:spacing w:before="240" w:after="64" w:line="320" w:lineRule="atLeast"/>
      <w:jc w:val="left"/>
      <w:outlineLvl w:val="6"/>
    </w:pPr>
    <w:rPr>
      <w:b/>
      <w:bCs/>
      <w:kern w:val="0"/>
      <w:sz w:val="24"/>
    </w:rPr>
  </w:style>
  <w:style w:type="paragraph" w:styleId="9">
    <w:name w:val="heading 8"/>
    <w:basedOn w:val="1"/>
    <w:next w:val="1"/>
    <w:qFormat/>
    <w:uiPriority w:val="0"/>
    <w:pPr>
      <w:keepNext/>
      <w:keepLines/>
      <w:numPr>
        <w:ilvl w:val="7"/>
        <w:numId w:val="1"/>
      </w:numPr>
      <w:adjustRightInd w:val="0"/>
      <w:spacing w:before="240" w:after="64" w:line="320" w:lineRule="atLeast"/>
      <w:jc w:val="left"/>
      <w:outlineLvl w:val="7"/>
    </w:pPr>
    <w:rPr>
      <w:rFonts w:ascii="Arial" w:hAnsi="Arial" w:eastAsia="黑体"/>
      <w:kern w:val="0"/>
      <w:sz w:val="24"/>
    </w:rPr>
  </w:style>
  <w:style w:type="paragraph" w:styleId="10">
    <w:name w:val="heading 9"/>
    <w:basedOn w:val="1"/>
    <w:next w:val="1"/>
    <w:qFormat/>
    <w:uiPriority w:val="0"/>
    <w:pPr>
      <w:keepNext/>
      <w:keepLines/>
      <w:numPr>
        <w:ilvl w:val="8"/>
        <w:numId w:val="1"/>
      </w:numPr>
      <w:adjustRightInd w:val="0"/>
      <w:spacing w:before="240" w:after="64" w:line="320" w:lineRule="atLeast"/>
      <w:jc w:val="left"/>
      <w:outlineLvl w:val="8"/>
    </w:pPr>
    <w:rPr>
      <w:rFonts w:ascii="Arial" w:hAnsi="Arial" w:eastAsia="黑体"/>
      <w:kern w:val="0"/>
      <w:szCs w:val="21"/>
    </w:rPr>
  </w:style>
  <w:style w:type="character" w:default="1" w:styleId="40">
    <w:name w:val="Default Paragraph Font"/>
    <w:semiHidden/>
    <w:uiPriority w:val="0"/>
  </w:style>
  <w:style w:type="table" w:default="1" w:styleId="38">
    <w:name w:val="Normal Table"/>
    <w:semiHidden/>
    <w:uiPriority w:val="0"/>
    <w:tblPr>
      <w:tblStyle w:val="38"/>
      <w:tblCellMar>
        <w:top w:w="0" w:type="dxa"/>
        <w:left w:w="108" w:type="dxa"/>
        <w:bottom w:w="0" w:type="dxa"/>
        <w:right w:w="108" w:type="dxa"/>
      </w:tblCellMar>
    </w:tblPr>
  </w:style>
  <w:style w:type="paragraph" w:styleId="11">
    <w:name w:val="toc 7"/>
    <w:basedOn w:val="1"/>
    <w:next w:val="1"/>
    <w:semiHidden/>
    <w:uiPriority w:val="0"/>
    <w:pPr>
      <w:ind w:left="1260"/>
      <w:jc w:val="left"/>
    </w:pPr>
    <w:rPr>
      <w:szCs w:val="21"/>
    </w:rPr>
  </w:style>
  <w:style w:type="paragraph" w:styleId="12">
    <w:name w:val="Normal Indent"/>
    <w:basedOn w:val="1"/>
    <w:uiPriority w:val="0"/>
    <w:pPr>
      <w:ind w:firstLine="420"/>
    </w:pPr>
    <w:rPr>
      <w:szCs w:val="20"/>
    </w:rPr>
  </w:style>
  <w:style w:type="paragraph" w:styleId="13">
    <w:name w:val="List Bullet"/>
    <w:basedOn w:val="1"/>
    <w:uiPriority w:val="0"/>
    <w:pPr>
      <w:tabs>
        <w:tab w:val="left" w:pos="360"/>
      </w:tabs>
      <w:ind w:left="360" w:hanging="360" w:hangingChars="200"/>
    </w:pPr>
  </w:style>
  <w:style w:type="paragraph" w:styleId="14">
    <w:name w:val="Document Map"/>
    <w:basedOn w:val="1"/>
    <w:semiHidden/>
    <w:uiPriority w:val="0"/>
    <w:pPr>
      <w:shd w:val="clear" w:color="auto" w:fill="000080"/>
    </w:pPr>
    <w:rPr>
      <w:rFonts w:ascii="Tahoma" w:hAnsi="Tahoma"/>
      <w:sz w:val="24"/>
    </w:rPr>
  </w:style>
  <w:style w:type="paragraph" w:styleId="15">
    <w:name w:val="annotation text"/>
    <w:basedOn w:val="1"/>
    <w:semiHidden/>
    <w:uiPriority w:val="0"/>
    <w:pPr>
      <w:spacing w:line="300" w:lineRule="auto"/>
      <w:ind w:firstLine="200" w:firstLineChars="200"/>
      <w:jc w:val="left"/>
    </w:pPr>
    <w:rPr>
      <w:sz w:val="24"/>
    </w:rPr>
  </w:style>
  <w:style w:type="paragraph" w:styleId="16">
    <w:name w:val="Body Text"/>
    <w:basedOn w:val="1"/>
    <w:uiPriority w:val="0"/>
    <w:pPr>
      <w:spacing w:after="120"/>
    </w:pPr>
  </w:style>
  <w:style w:type="paragraph" w:styleId="17">
    <w:name w:val="Body Text Indent"/>
    <w:basedOn w:val="1"/>
    <w:uiPriority w:val="0"/>
    <w:pPr>
      <w:ind w:firstLine="420"/>
    </w:pPr>
    <w:rPr>
      <w:rFonts w:ascii="Tahoma" w:hAnsi="Tahoma"/>
      <w:sz w:val="28"/>
    </w:rPr>
  </w:style>
  <w:style w:type="paragraph" w:styleId="18">
    <w:name w:val="toc 5"/>
    <w:basedOn w:val="1"/>
    <w:next w:val="1"/>
    <w:semiHidden/>
    <w:uiPriority w:val="0"/>
    <w:pPr>
      <w:ind w:left="840"/>
      <w:jc w:val="left"/>
    </w:pPr>
    <w:rPr>
      <w:szCs w:val="21"/>
    </w:rPr>
  </w:style>
  <w:style w:type="paragraph" w:styleId="19">
    <w:name w:val="toc 3"/>
    <w:basedOn w:val="1"/>
    <w:next w:val="1"/>
    <w:semiHidden/>
    <w:uiPriority w:val="0"/>
    <w:pPr>
      <w:ind w:left="420"/>
      <w:jc w:val="left"/>
    </w:pPr>
    <w:rPr>
      <w:rFonts w:ascii="Tahoma" w:hAnsi="Tahoma"/>
    </w:rPr>
  </w:style>
  <w:style w:type="paragraph" w:styleId="20">
    <w:name w:val="Plain Text"/>
    <w:basedOn w:val="1"/>
    <w:uiPriority w:val="0"/>
    <w:pPr>
      <w:adjustRightInd w:val="0"/>
      <w:spacing w:line="360" w:lineRule="atLeast"/>
      <w:jc w:val="left"/>
    </w:pPr>
    <w:rPr>
      <w:rFonts w:ascii="宋体" w:hAnsi="Courier New" w:cs="Helv"/>
      <w:kern w:val="0"/>
      <w:szCs w:val="21"/>
    </w:rPr>
  </w:style>
  <w:style w:type="paragraph" w:styleId="21">
    <w:name w:val="toc 8"/>
    <w:basedOn w:val="1"/>
    <w:next w:val="1"/>
    <w:semiHidden/>
    <w:uiPriority w:val="0"/>
    <w:pPr>
      <w:ind w:left="1470"/>
      <w:jc w:val="left"/>
    </w:pPr>
    <w:rPr>
      <w:szCs w:val="21"/>
    </w:rPr>
  </w:style>
  <w:style w:type="paragraph" w:styleId="22">
    <w:name w:val="Date"/>
    <w:basedOn w:val="1"/>
    <w:next w:val="1"/>
    <w:uiPriority w:val="0"/>
    <w:rPr>
      <w:rFonts w:ascii="Tahoma" w:hAnsi="Tahoma" w:eastAsia="黑体"/>
      <w:sz w:val="28"/>
    </w:rPr>
  </w:style>
  <w:style w:type="paragraph" w:styleId="23">
    <w:name w:val="Body Text Indent 2"/>
    <w:basedOn w:val="1"/>
    <w:uiPriority w:val="0"/>
    <w:pPr>
      <w:adjustRightInd w:val="0"/>
      <w:spacing w:after="120" w:line="480" w:lineRule="auto"/>
      <w:ind w:leftChars="200"/>
      <w:jc w:val="left"/>
    </w:pPr>
    <w:rPr>
      <w:kern w:val="0"/>
      <w:sz w:val="24"/>
      <w:szCs w:val="20"/>
    </w:rPr>
  </w:style>
  <w:style w:type="paragraph" w:styleId="24">
    <w:name w:val="Balloon Text"/>
    <w:basedOn w:val="1"/>
    <w:semiHidden/>
    <w:uiPriority w:val="0"/>
    <w:rPr>
      <w:sz w:val="18"/>
      <w:szCs w:val="18"/>
    </w:rPr>
  </w:style>
  <w:style w:type="paragraph" w:styleId="25">
    <w:name w:val="footer"/>
    <w:basedOn w:val="1"/>
    <w:uiPriority w:val="0"/>
    <w:pPr>
      <w:tabs>
        <w:tab w:val="center" w:pos="4153"/>
        <w:tab w:val="right" w:pos="8306"/>
      </w:tabs>
      <w:adjustRightInd w:val="0"/>
      <w:spacing w:line="240" w:lineRule="atLeast"/>
      <w:jc w:val="left"/>
    </w:pPr>
    <w:rPr>
      <w:kern w:val="0"/>
      <w:sz w:val="18"/>
      <w:szCs w:val="20"/>
    </w:rPr>
  </w:style>
  <w:style w:type="paragraph" w:styleId="26">
    <w:name w:val="header"/>
    <w:basedOn w:val="1"/>
    <w:uiPriority w:val="0"/>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27">
    <w:name w:val="toc 1"/>
    <w:basedOn w:val="1"/>
    <w:next w:val="1"/>
    <w:semiHidden/>
    <w:uiPriority w:val="0"/>
    <w:pPr>
      <w:spacing w:before="120" w:after="120"/>
      <w:jc w:val="left"/>
    </w:pPr>
    <w:rPr>
      <w:b/>
      <w:bCs/>
      <w:caps/>
    </w:rPr>
  </w:style>
  <w:style w:type="paragraph" w:styleId="28">
    <w:name w:val="toc 4"/>
    <w:basedOn w:val="1"/>
    <w:next w:val="1"/>
    <w:semiHidden/>
    <w:uiPriority w:val="0"/>
    <w:pPr>
      <w:ind w:left="630"/>
      <w:jc w:val="left"/>
    </w:pPr>
    <w:rPr>
      <w:szCs w:val="21"/>
    </w:rPr>
  </w:style>
  <w:style w:type="paragraph" w:styleId="29">
    <w:name w:val="toc 6"/>
    <w:basedOn w:val="1"/>
    <w:next w:val="1"/>
    <w:semiHidden/>
    <w:uiPriority w:val="0"/>
    <w:pPr>
      <w:ind w:left="1050"/>
      <w:jc w:val="left"/>
    </w:pPr>
    <w:rPr>
      <w:szCs w:val="21"/>
    </w:rPr>
  </w:style>
  <w:style w:type="paragraph" w:styleId="30">
    <w:name w:val="Body Text Indent 3"/>
    <w:basedOn w:val="1"/>
    <w:uiPriority w:val="0"/>
    <w:pPr>
      <w:spacing w:before="120" w:line="360" w:lineRule="atLeast"/>
      <w:ind w:firstLine="540"/>
    </w:pPr>
    <w:rPr>
      <w:rFonts w:ascii="Courier New" w:hAnsi="Courier New"/>
      <w:szCs w:val="20"/>
    </w:rPr>
  </w:style>
  <w:style w:type="paragraph" w:styleId="31">
    <w:name w:val="toc 2"/>
    <w:basedOn w:val="1"/>
    <w:next w:val="1"/>
    <w:semiHidden/>
    <w:uiPriority w:val="0"/>
    <w:pPr>
      <w:ind w:left="210"/>
      <w:jc w:val="left"/>
    </w:pPr>
    <w:rPr>
      <w:smallCaps/>
    </w:rPr>
  </w:style>
  <w:style w:type="paragraph" w:styleId="32">
    <w:name w:val="toc 9"/>
    <w:basedOn w:val="1"/>
    <w:next w:val="1"/>
    <w:semiHidden/>
    <w:uiPriority w:val="0"/>
    <w:pPr>
      <w:ind w:left="1680"/>
      <w:jc w:val="left"/>
    </w:pPr>
    <w:rPr>
      <w:szCs w:val="21"/>
    </w:rPr>
  </w:style>
  <w:style w:type="paragraph" w:styleId="33">
    <w:name w:val="Normal (Web)"/>
    <w:basedOn w:val="1"/>
    <w:uiPriority w:val="0"/>
    <w:pPr>
      <w:widowControl/>
      <w:spacing w:before="100" w:beforeAutospacing="1" w:after="100" w:afterAutospacing="1"/>
      <w:jc w:val="left"/>
    </w:pPr>
    <w:rPr>
      <w:rFonts w:ascii="Arial Unicode MS" w:hAnsi="Arial Unicode MS" w:eastAsia="Arial Unicode MS" w:cs="Tahoma"/>
      <w:color w:val="000000"/>
      <w:kern w:val="0"/>
      <w:sz w:val="24"/>
    </w:rPr>
  </w:style>
  <w:style w:type="paragraph" w:styleId="34">
    <w:name w:val="index 1"/>
    <w:basedOn w:val="1"/>
    <w:next w:val="1"/>
    <w:semiHidden/>
    <w:uiPriority w:val="0"/>
    <w:rPr>
      <w:rFonts w:ascii="Tahoma" w:hAnsi="Tahoma"/>
      <w:sz w:val="24"/>
    </w:rPr>
  </w:style>
  <w:style w:type="paragraph" w:styleId="35">
    <w:name w:val="Title"/>
    <w:basedOn w:val="1"/>
    <w:next w:val="1"/>
    <w:qFormat/>
    <w:uiPriority w:val="0"/>
    <w:pPr>
      <w:pageBreakBefore/>
      <w:widowControl/>
      <w:spacing w:before="2280" w:after="7200"/>
      <w:jc w:val="center"/>
      <w:outlineLvl w:val="0"/>
    </w:pPr>
    <w:rPr>
      <w:rFonts w:ascii="Tahoma" w:hAnsi="Tahoma" w:eastAsia="黑体" w:cs="Arial"/>
      <w:bCs/>
      <w:sz w:val="52"/>
      <w:szCs w:val="52"/>
    </w:rPr>
  </w:style>
  <w:style w:type="paragraph" w:styleId="36">
    <w:name w:val="annotation subject"/>
    <w:basedOn w:val="15"/>
    <w:next w:val="15"/>
    <w:semiHidden/>
    <w:uiPriority w:val="0"/>
    <w:pPr>
      <w:spacing w:line="240" w:lineRule="auto"/>
      <w:ind w:firstLine="0" w:firstLineChars="0"/>
    </w:pPr>
    <w:rPr>
      <w:b/>
      <w:bCs/>
      <w:sz w:val="21"/>
    </w:rPr>
  </w:style>
  <w:style w:type="paragraph" w:styleId="37">
    <w:name w:val="Body Text First Indent"/>
    <w:basedOn w:val="16"/>
    <w:uiPriority w:val="0"/>
    <w:pPr>
      <w:ind w:firstLine="420" w:firstLineChars="100"/>
    </w:pPr>
    <w:rPr>
      <w:rFonts w:eastAsia="仿宋_GB2312"/>
      <w:szCs w:val="20"/>
    </w:rPr>
  </w:style>
  <w:style w:type="table" w:styleId="39">
    <w:name w:val="Table Grid"/>
    <w:basedOn w:val="38"/>
    <w:uiPriority w:val="0"/>
    <w:pPr>
      <w:widowControl w:val="0"/>
      <w:jc w:val="both"/>
    </w:pPr>
    <w:tblPr>
      <w:tblStyle w:val="3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bCs/>
    </w:rPr>
  </w:style>
  <w:style w:type="character" w:styleId="42">
    <w:name w:val="page number"/>
    <w:basedOn w:val="40"/>
    <w:uiPriority w:val="0"/>
  </w:style>
  <w:style w:type="character" w:styleId="43">
    <w:name w:val="FollowedHyperlink"/>
    <w:uiPriority w:val="0"/>
    <w:rPr>
      <w:color w:val="800080"/>
      <w:u w:val="single"/>
    </w:rPr>
  </w:style>
  <w:style w:type="character" w:styleId="44">
    <w:name w:val="Hyperlink"/>
    <w:uiPriority w:val="0"/>
    <w:rPr>
      <w:color w:val="0000FF"/>
      <w:u w:val="single"/>
    </w:rPr>
  </w:style>
  <w:style w:type="character" w:styleId="45">
    <w:name w:val="annotation reference"/>
    <w:semiHidden/>
    <w:uiPriority w:val="0"/>
    <w:rPr>
      <w:sz w:val="21"/>
      <w:szCs w:val="21"/>
    </w:rPr>
  </w:style>
  <w:style w:type="character" w:customStyle="1" w:styleId="46">
    <w:name w:val="标题 4 Char Char Char Char Char Char Char Char Char Char Char Char Char Char"/>
    <w:uiPriority w:val="0"/>
    <w:rPr>
      <w:rFonts w:hint="default" w:ascii="Arial" w:hAnsi="Arial" w:eastAsia="黑体" w:cs="Arial"/>
      <w:bCs/>
      <w:kern w:val="2"/>
      <w:sz w:val="24"/>
      <w:szCs w:val="28"/>
      <w:lang w:val="en-US" w:eastAsia="zh-CN" w:bidi="ar-SA"/>
    </w:rPr>
  </w:style>
  <w:style w:type="character" w:customStyle="1" w:styleId="47">
    <w:name w:val="Char Char"/>
    <w:uiPriority w:val="0"/>
    <w:rPr>
      <w:rFonts w:hint="eastAsia" w:ascii="宋体" w:hAnsi="宋体" w:eastAsia="宋体"/>
      <w:kern w:val="2"/>
      <w:sz w:val="21"/>
      <w:szCs w:val="24"/>
      <w:lang w:val="en-US" w:eastAsia="zh-CN" w:bidi="ar-SA"/>
    </w:rPr>
  </w:style>
  <w:style w:type="character" w:customStyle="1" w:styleId="48">
    <w:name w:val="apple-converted-space"/>
    <w:basedOn w:val="40"/>
    <w:uiPriority w:val="0"/>
  </w:style>
  <w:style w:type="character" w:customStyle="1" w:styleId="49">
    <w:name w:val="小标题 Char"/>
    <w:uiPriority w:val="0"/>
    <w:rPr>
      <w:rFonts w:hint="default" w:ascii="Tahoma" w:hAnsi="Tahoma" w:eastAsia="仿宋_GB2312" w:cs="Century"/>
      <w:b/>
      <w:bCs/>
      <w:kern w:val="2"/>
      <w:sz w:val="24"/>
      <w:szCs w:val="24"/>
      <w:lang w:val="en-US" w:eastAsia="zh-CN" w:bidi="ar-SA"/>
    </w:rPr>
  </w:style>
  <w:style w:type="character" w:customStyle="1" w:styleId="50">
    <w:name w:val="text"/>
    <w:basedOn w:val="40"/>
    <w:uiPriority w:val="0"/>
  </w:style>
  <w:style w:type="character" w:customStyle="1" w:styleId="51">
    <w:name w:val="para1"/>
    <w:uiPriority w:val="0"/>
    <w:rPr>
      <w:rFonts w:hint="default" w:ascii="Arial" w:hAnsi="Arial" w:cs="Arial"/>
      <w:sz w:val="18"/>
      <w:szCs w:val="18"/>
    </w:rPr>
  </w:style>
  <w:style w:type="paragraph" w:customStyle="1" w:styleId="52">
    <w:name w:val="样式 标题 3h3H3sect1.2.3 + 五号 段前: 6 磅 段后: 6 磅 行距: 单倍行距"/>
    <w:basedOn w:val="4"/>
    <w:uiPriority w:val="0"/>
    <w:pPr>
      <w:spacing w:before="120" w:after="120" w:line="240" w:lineRule="auto"/>
    </w:pPr>
    <w:rPr>
      <w:sz w:val="21"/>
      <w:szCs w:val="20"/>
    </w:rPr>
  </w:style>
  <w:style w:type="paragraph" w:customStyle="1" w:styleId="53">
    <w:name w:val="项目符号"/>
    <w:basedOn w:val="54"/>
    <w:uiPriority w:val="0"/>
    <w:pPr>
      <w:ind w:firstLine="0" w:firstLineChars="0"/>
    </w:pPr>
  </w:style>
  <w:style w:type="paragraph" w:customStyle="1" w:styleId="54">
    <w:name w:val="文本正文"/>
    <w:basedOn w:val="1"/>
    <w:uiPriority w:val="0"/>
    <w:pPr>
      <w:spacing w:line="360" w:lineRule="auto"/>
      <w:ind w:firstLine="200" w:firstLineChars="200"/>
    </w:pPr>
    <w:rPr>
      <w:rFonts w:ascii="Tahoma" w:hAnsi="Tahoma" w:cs="Arial"/>
      <w:sz w:val="24"/>
      <w:szCs w:val="20"/>
    </w:rPr>
  </w:style>
  <w:style w:type="paragraph" w:customStyle="1" w:styleId="55">
    <w:name w:val="样式1"/>
    <w:basedOn w:val="1"/>
    <w:uiPriority w:val="0"/>
    <w:pPr>
      <w:numPr>
        <w:ilvl w:val="0"/>
        <w:numId w:val="2"/>
      </w:numPr>
      <w:adjustRightInd w:val="0"/>
    </w:pPr>
    <w:rPr>
      <w:rFonts w:ascii="宋体" w:hAnsi="宋体"/>
      <w:kern w:val="0"/>
      <w:szCs w:val="21"/>
    </w:rPr>
  </w:style>
  <w:style w:type="paragraph" w:customStyle="1" w:styleId="56">
    <w:name w:val="样式 样式 标题 2 + 宋体 五号 非加粗 黑色 + 段前: 6 磅 段后: 0 磅 行距: 单倍行距"/>
    <w:basedOn w:val="57"/>
    <w:uiPriority w:val="0"/>
    <w:pPr>
      <w:spacing w:before="120" w:after="0" w:line="240" w:lineRule="auto"/>
    </w:pPr>
    <w:rPr>
      <w:szCs w:val="20"/>
    </w:rPr>
  </w:style>
  <w:style w:type="paragraph" w:customStyle="1" w:styleId="57">
    <w:name w:val="样式 标题 2 + 宋体 五号 非加粗 黑色"/>
    <w:basedOn w:val="3"/>
    <w:uiPriority w:val="0"/>
    <w:rPr>
      <w:rFonts w:ascii="宋体" w:hAnsi="宋体" w:eastAsia="宋体"/>
      <w:b w:val="0"/>
      <w:bCs w:val="0"/>
      <w:color w:val="000000"/>
      <w:sz w:val="21"/>
    </w:rPr>
  </w:style>
  <w:style w:type="paragraph" w:customStyle="1" w:styleId="58">
    <w:name w:val="小标题"/>
    <w:basedOn w:val="16"/>
    <w:uiPriority w:val="0"/>
    <w:pPr>
      <w:spacing w:after="0"/>
      <w:ind w:leftChars="100"/>
    </w:pPr>
    <w:rPr>
      <w:rFonts w:ascii="Tahoma" w:hAnsi="Tahoma" w:eastAsia="仿宋_GB2312" w:cs="Century"/>
      <w:b/>
      <w:bCs/>
      <w:sz w:val="24"/>
    </w:rPr>
  </w:style>
  <w:style w:type="paragraph" w:customStyle="1" w:styleId="59">
    <w:name w:val="样式 样式 样式 样式 标题 2 + 宋体 五号 非加粗 黑色 + 段前: 6 磅 段后: 0 磅 行距: 单倍行距 + 段前:..."/>
    <w:basedOn w:val="60"/>
    <w:uiPriority w:val="0"/>
    <w:rPr>
      <w:b/>
      <w:bCs/>
    </w:rPr>
  </w:style>
  <w:style w:type="paragraph" w:customStyle="1" w:styleId="60">
    <w:name w:val="样式 样式 样式 标题 2 + 宋体 五号 非加粗 黑色 + 段前: 6 磅 段后: 0 磅 行距: 单倍行距 + 段前: 12..."/>
    <w:basedOn w:val="56"/>
    <w:uiPriority w:val="0"/>
    <w:pPr>
      <w:spacing w:before="240"/>
    </w:pPr>
  </w:style>
  <w:style w:type="paragraph" w:customStyle="1" w:styleId="61">
    <w:name w:val="正文行"/>
    <w:basedOn w:val="1"/>
    <w:uiPriority w:val="0"/>
    <w:pPr>
      <w:spacing w:line="360" w:lineRule="auto"/>
    </w:pPr>
    <w:rPr>
      <w:rFonts w:ascii="Tahoma" w:hAnsi="Tahoma"/>
      <w:sz w:val="24"/>
    </w:rPr>
  </w:style>
  <w:style w:type="paragraph" w:customStyle="1" w:styleId="62">
    <w:name w:val="样式 宋体 五号 行距: 单倍行距"/>
    <w:basedOn w:val="1"/>
    <w:uiPriority w:val="0"/>
    <w:pPr>
      <w:adjustRightInd w:val="0"/>
      <w:jc w:val="left"/>
    </w:pPr>
    <w:rPr>
      <w:rFonts w:ascii="宋体" w:hAnsi="宋体"/>
      <w:kern w:val="0"/>
      <w:szCs w:val="20"/>
    </w:rPr>
  </w:style>
  <w:style w:type="paragraph" w:customStyle="1" w:styleId="63">
    <w:name w:val="正文内容"/>
    <w:basedOn w:val="1"/>
    <w:uiPriority w:val="0"/>
    <w:pPr>
      <w:spacing w:line="360" w:lineRule="auto"/>
      <w:ind w:firstLine="480" w:firstLineChars="200"/>
    </w:pPr>
    <w:rPr>
      <w:rFonts w:ascii="Arial" w:hAnsi="Arial"/>
      <w:sz w:val="24"/>
    </w:rPr>
  </w:style>
  <w:style w:type="paragraph" w:customStyle="1" w:styleId="64">
    <w:name w:val=" Char1"/>
    <w:basedOn w:val="1"/>
    <w:uiPriority w:val="0"/>
    <w:pPr>
      <w:widowControl/>
      <w:spacing w:after="160" w:line="240" w:lineRule="exact"/>
      <w:jc w:val="left"/>
    </w:pPr>
  </w:style>
  <w:style w:type="paragraph" w:customStyle="1" w:styleId="65">
    <w:name w:val="Char Char Char"/>
    <w:basedOn w:val="1"/>
    <w:uiPriority w:val="0"/>
    <w:rPr>
      <w:rFonts w:ascii="Tahoma" w:hAnsi="Tahoma"/>
      <w:sz w:val="24"/>
      <w:szCs w:val="20"/>
    </w:rPr>
  </w:style>
  <w:style w:type="paragraph" w:customStyle="1" w:styleId="66">
    <w:name w:val="样式2"/>
    <w:basedOn w:val="1"/>
    <w:uiPriority w:val="0"/>
    <w:pPr>
      <w:numPr>
        <w:ilvl w:val="1"/>
        <w:numId w:val="3"/>
      </w:numPr>
      <w:adjustRightInd w:val="0"/>
    </w:pPr>
    <w:rPr>
      <w:rFonts w:ascii="宋体" w:hAnsi="宋体"/>
      <w:kern w:val="0"/>
      <w:szCs w:val="21"/>
    </w:rPr>
  </w:style>
  <w:style w:type="paragraph" w:customStyle="1" w:styleId="67">
    <w:name w:val="表格"/>
    <w:basedOn w:val="1"/>
    <w:uiPriority w:val="0"/>
    <w:pPr>
      <w:spacing w:line="320" w:lineRule="exact"/>
      <w:jc w:val="center"/>
    </w:pPr>
    <w:rPr>
      <w:bCs/>
      <w:szCs w:val="21"/>
    </w:rPr>
  </w:style>
  <w:style w:type="paragraph" w:customStyle="1" w:styleId="68">
    <w:name w:val="Char"/>
    <w:basedOn w:val="1"/>
    <w:uiPriority w:val="0"/>
    <w:rPr>
      <w:rFonts w:ascii="Tahoma" w:hAnsi="Tahoma"/>
      <w:sz w:val="24"/>
      <w:szCs w:val="20"/>
    </w:rPr>
  </w:style>
  <w:style w:type="paragraph" w:customStyle="1" w:styleId="69">
    <w:name w:val="样式 宋体 五号 两端对齐 行距: 单倍行距"/>
    <w:basedOn w:val="1"/>
    <w:uiPriority w:val="0"/>
    <w:pPr>
      <w:adjustRightInd w:val="0"/>
    </w:pPr>
    <w:rPr>
      <w:rFonts w:ascii="宋体" w:hAnsi="宋体"/>
      <w:kern w:val="0"/>
      <w:szCs w:val="20"/>
    </w:rPr>
  </w:style>
  <w:style w:type="paragraph" w:customStyle="1" w:styleId="70">
    <w:name w:val="标题单位"/>
    <w:basedOn w:val="1"/>
    <w:next w:val="1"/>
    <w:uiPriority w:val="0"/>
    <w:pPr>
      <w:spacing w:line="360" w:lineRule="auto"/>
      <w:jc w:val="center"/>
    </w:pPr>
    <w:rPr>
      <w:rFonts w:ascii="Tahoma" w:hAnsi="Tahoma" w:eastAsia="黑体"/>
      <w:sz w:val="32"/>
      <w:szCs w:val="32"/>
    </w:rPr>
  </w:style>
  <w:style w:type="paragraph" w:customStyle="1" w:styleId="71">
    <w:name w:val="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2">
    <w:name w:val="小标题下列表"/>
    <w:basedOn w:val="16"/>
    <w:uiPriority w:val="0"/>
    <w:pPr>
      <w:numPr>
        <w:ilvl w:val="1"/>
        <w:numId w:val="4"/>
      </w:numPr>
      <w:spacing w:after="0"/>
    </w:pPr>
    <w:rPr>
      <w:rFonts w:ascii="Tahoma" w:hAnsi="Tahoma" w:eastAsia="仿宋_GB2312"/>
      <w:sz w:val="24"/>
    </w:rPr>
  </w:style>
  <w:style w:type="paragraph" w:customStyle="1" w:styleId="73">
    <w:name w:val="样式 标题 2 + 宋体 五号 行距: 单倍行距"/>
    <w:basedOn w:val="3"/>
    <w:uiPriority w:val="0"/>
    <w:pPr>
      <w:spacing w:line="240" w:lineRule="auto"/>
    </w:pPr>
    <w:rPr>
      <w:rFonts w:ascii="宋体" w:hAnsi="宋体" w:eastAsia="宋体"/>
      <w:sz w:val="21"/>
      <w:szCs w:val="20"/>
    </w:rPr>
  </w:style>
  <w:style w:type="paragraph" w:customStyle="1" w:styleId="74">
    <w:name w:val="表正文"/>
    <w:basedOn w:val="1"/>
    <w:uiPriority w:val="0"/>
    <w:pPr>
      <w:adjustRightInd w:val="0"/>
      <w:spacing w:after="120" w:line="360" w:lineRule="atLeast"/>
      <w:jc w:val="left"/>
    </w:pPr>
    <w:rPr>
      <w:kern w:val="0"/>
      <w:sz w:val="16"/>
      <w:szCs w:val="16"/>
    </w:rPr>
  </w:style>
  <w:style w:type="paragraph" w:customStyle="1" w:styleId="75">
    <w:name w:val="表样式"/>
    <w:basedOn w:val="1"/>
    <w:uiPriority w:val="0"/>
    <w:pPr>
      <w:tabs>
        <w:tab w:val="center" w:pos="4153"/>
        <w:tab w:val="right" w:pos="8306"/>
      </w:tabs>
      <w:autoSpaceDE w:val="0"/>
      <w:autoSpaceDN w:val="0"/>
      <w:adjustRightInd w:val="0"/>
      <w:spacing w:line="360" w:lineRule="auto"/>
      <w:ind w:left="181"/>
      <w:jc w:val="left"/>
    </w:pPr>
    <w:rPr>
      <w:rFonts w:ascii="宋体"/>
      <w:kern w:val="0"/>
      <w:szCs w:val="20"/>
    </w:rPr>
  </w:style>
  <w:style w:type="paragraph" w:customStyle="1" w:styleId="76">
    <w:name w:val="样式 标题 1 + 四号 居中 段前: 12 磅 段后: 12 磅 行距: 单倍行距"/>
    <w:basedOn w:val="2"/>
    <w:uiPriority w:val="0"/>
    <w:pPr>
      <w:numPr>
        <w:ilvl w:val="0"/>
        <w:numId w:val="1"/>
      </w:numPr>
      <w:spacing w:before="240" w:after="240" w:line="240" w:lineRule="auto"/>
      <w:jc w:val="center"/>
    </w:pPr>
    <w:rPr>
      <w:sz w:val="28"/>
      <w:szCs w:val="20"/>
    </w:rPr>
  </w:style>
  <w:style w:type="paragraph" w:customStyle="1" w:styleId="77">
    <w:name w:val="文档正文"/>
    <w:basedOn w:val="1"/>
    <w:uiPriority w:val="0"/>
    <w:pPr>
      <w:adjustRightInd w:val="0"/>
      <w:spacing w:line="312" w:lineRule="atLeast"/>
      <w:ind w:firstLine="567"/>
    </w:pPr>
    <w:rPr>
      <w:rFonts w:ascii="Tahoma" w:hAnsi="Tahoma"/>
      <w:kern w:val="0"/>
      <w:sz w:val="28"/>
      <w:szCs w:val="20"/>
    </w:rPr>
  </w:style>
  <w:style w:type="paragraph" w:customStyle="1" w:styleId="78">
    <w:name w:val="样式 标题 4 + 段前: 5 磅 段后: 5 磅 行距: 单倍行距"/>
    <w:basedOn w:val="5"/>
    <w:uiPriority w:val="0"/>
    <w:pPr>
      <w:numPr>
        <w:ilvl w:val="3"/>
        <w:numId w:val="0"/>
      </w:numPr>
      <w:tabs>
        <w:tab w:val="left" w:pos="1680"/>
        <w:tab w:val="left" w:pos="2880"/>
      </w:tabs>
      <w:spacing w:before="100" w:after="100" w:line="240" w:lineRule="auto"/>
      <w:ind w:left="1680" w:hanging="420"/>
    </w:pPr>
    <w:rPr>
      <w:rFonts w:cs="宋体"/>
      <w:szCs w:val="20"/>
    </w:rPr>
  </w:style>
  <w:style w:type="paragraph" w:customStyle="1" w:styleId="79">
    <w:name w:val=" Char Char Char Char Char Char"/>
    <w:basedOn w:val="1"/>
    <w:uiPriority w:val="0"/>
    <w:rPr>
      <w:rFonts w:ascii="仿宋_GB2312" w:eastAsia="仿宋_GB2312"/>
      <w:b/>
      <w:sz w:val="32"/>
      <w:szCs w:val="32"/>
    </w:rPr>
  </w:style>
  <w:style w:type="paragraph" w:styleId="80">
    <w:name w:val=""/>
    <w:unhideWhenUsed/>
    <w:uiPriority w:val="99"/>
    <w:rPr>
      <w:kern w:val="2"/>
      <w:sz w:val="21"/>
      <w:szCs w:val="24"/>
      <w:lang w:val="en-US" w:eastAsia="zh-CN" w:bidi="ar-SA"/>
    </w:rPr>
  </w:style>
  <w:style w:type="paragraph" w:customStyle="1" w:styleId="81">
    <w:name w:val="_Style 83"/>
    <w:basedOn w:val="16"/>
    <w:next w:val="37"/>
    <w:uiPriority w:val="0"/>
    <w:pPr>
      <w:ind w:firstLine="420" w:firstLineChars="100"/>
    </w:pPr>
    <w:rPr>
      <w:rFonts w:eastAsia="仿宋_GB2312"/>
      <w:szCs w:val="20"/>
    </w:rPr>
  </w:style>
  <w:style w:type="paragraph" w:styleId="8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1917</Words>
  <Characters>10929</Characters>
  <Lines>91</Lines>
  <Paragraphs>25</Paragraphs>
  <TotalTime>165</TotalTime>
  <ScaleCrop>false</ScaleCrop>
  <LinksUpToDate>false</LinksUpToDate>
  <CharactersWithSpaces>12821</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2020-06-12T01:22:00Z</dcterms:created>
  <dc:creator>User</dc:creator>
  <cp:lastModifiedBy>Mi﹌○﹌GHao</cp:lastModifiedBy>
  <cp:lastPrinted>2018-07-14T07:03:00Z</cp:lastPrinted>
  <dcterms:modified xsi:type="dcterms:W3CDTF">2021-12-30T07:54:09Z</dcterms:modified>
  <dc:title>江苏师范大学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AE2A7C9CE6CA4FBCA96F815ECBBFE663</vt:lpwstr>
  </property>
</Properties>
</file>