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8"/>
          <w:szCs w:val="52"/>
          <w14:shadow w14:blurRad="50800" w14:dist="38100" w14:dir="2700000" w14:sx="100000" w14:sy="100000" w14:kx="0" w14:ky="0" w14:algn="tl">
            <w14:srgbClr w14:val="000000">
              <w14:alpha w14:val="60000"/>
            </w14:srgbClr>
          </w14:shadow>
        </w:rPr>
      </w:pPr>
      <w:r>
        <w:rPr>
          <w:rFonts w:hint="eastAsia" w:ascii="宋体" w:hAnsi="宋体"/>
          <w:b/>
          <w:sz w:val="48"/>
          <w:szCs w:val="52"/>
          <w14:shadow w14:blurRad="50800" w14:dist="38100" w14:dir="2700000" w14:sx="100000" w14:sy="100000" w14:kx="0" w14:ky="0" w14:algn="tl">
            <w14:srgbClr w14:val="000000">
              <w14:alpha w14:val="60000"/>
            </w14:srgbClr>
          </w14:shadow>
        </w:rPr>
        <w:t>江苏师范大学科文学院</w:t>
      </w:r>
    </w:p>
    <w:p>
      <w:pPr>
        <w:spacing w:line="360" w:lineRule="auto"/>
        <w:jc w:val="center"/>
        <w:rPr>
          <w:rFonts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开水器采购与安装项目</w:t>
      </w:r>
    </w:p>
    <w:p>
      <w:pPr>
        <w:spacing w:line="360" w:lineRule="auto"/>
        <w:jc w:val="center"/>
        <w:rPr>
          <w:rFonts w:ascii="宋体" w:hAnsi="宋体"/>
          <w:b/>
          <w:sz w:val="32"/>
          <w:szCs w:val="52"/>
          <w14:shadow w14:blurRad="50800" w14:dist="38100" w14:dir="2700000" w14:sx="100000" w14:sy="100000" w14:kx="0" w14:ky="0" w14:algn="tl">
            <w14:srgbClr w14:val="000000">
              <w14:alpha w14:val="60000"/>
            </w14:srgbClr>
          </w14:shadow>
        </w:rPr>
      </w:pPr>
      <w:r>
        <w:rPr>
          <w:rFonts w:hint="eastAsia" w:ascii="宋体" w:hAnsi="宋体"/>
          <w:b/>
          <w:sz w:val="32"/>
          <w:szCs w:val="52"/>
          <w14:shadow w14:blurRad="50800" w14:dist="38100" w14:dir="2700000" w14:sx="100000" w14:sy="100000" w14:kx="0" w14:ky="0" w14:algn="tl">
            <w14:srgbClr w14:val="000000">
              <w14:alpha w14:val="60000"/>
            </w14:srgbClr>
          </w14:shadow>
        </w:rPr>
        <w:t>（项目编号：2022H0</w:t>
      </w:r>
      <w:r>
        <w:rPr>
          <w:rFonts w:hint="eastAsia" w:ascii="宋体" w:hAnsi="宋体"/>
          <w:b/>
          <w:sz w:val="32"/>
          <w:szCs w:val="52"/>
          <w:lang w:val="en-US" w:eastAsia="zh-CN"/>
          <w14:shadow w14:blurRad="50800" w14:dist="38100" w14:dir="2700000" w14:sx="100000" w14:sy="100000" w14:kx="0" w14:ky="0" w14:algn="tl">
            <w14:srgbClr w14:val="000000">
              <w14:alpha w14:val="60000"/>
            </w14:srgbClr>
          </w14:shadow>
        </w:rPr>
        <w:t>610</w:t>
      </w:r>
      <w:r>
        <w:rPr>
          <w:rFonts w:hint="eastAsia" w:ascii="宋体" w:hAnsi="宋体"/>
          <w:b/>
          <w:sz w:val="32"/>
          <w:szCs w:val="52"/>
          <w14:shadow w14:blurRad="50800" w14:dist="38100" w14:dir="2700000" w14:sx="100000" w14:sy="100000" w14:kx="0" w14:ky="0" w14:algn="tl">
            <w14:srgbClr w14:val="000000">
              <w14:alpha w14:val="60000"/>
            </w14:srgbClr>
          </w14:shadow>
        </w:rPr>
        <w:t>）</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20</w:t>
      </w:r>
      <w:r>
        <w:rPr>
          <w:rFonts w:ascii="宋体" w:hAnsi="宋体"/>
          <w:sz w:val="32"/>
          <w14:shadow w14:blurRad="50800" w14:dist="38100" w14:dir="2700000" w14:sx="100000" w14:sy="100000" w14:kx="0" w14:ky="0" w14:algn="tl">
            <w14:srgbClr w14:val="000000">
              <w14:alpha w14:val="60000"/>
            </w14:srgbClr>
          </w14:shadow>
        </w:rPr>
        <w:t>2</w:t>
      </w:r>
      <w:r>
        <w:rPr>
          <w:rFonts w:hint="eastAsia" w:ascii="宋体" w:hAnsi="宋体"/>
          <w:sz w:val="32"/>
          <w14:shadow w14:blurRad="50800" w14:dist="38100" w14:dir="2700000" w14:sx="100000" w14:sy="100000" w14:kx="0" w14:ky="0" w14:algn="tl">
            <w14:srgbClr w14:val="000000">
              <w14:alpha w14:val="60000"/>
            </w14:srgbClr>
          </w14:shadow>
        </w:rPr>
        <w:t>2年</w:t>
      </w:r>
      <w:r>
        <w:rPr>
          <w:rFonts w:hint="eastAsia" w:ascii="宋体" w:hAnsi="宋体"/>
          <w:sz w:val="32"/>
          <w:lang w:val="en-US" w:eastAsia="zh-CN"/>
          <w14:shadow w14:blurRad="50800" w14:dist="38100" w14:dir="2700000" w14:sx="100000" w14:sy="100000" w14:kx="0" w14:ky="0" w14:algn="tl">
            <w14:srgbClr w14:val="000000">
              <w14:alpha w14:val="60000"/>
            </w14:srgbClr>
          </w14:shadow>
        </w:rPr>
        <w:t>8</w:t>
      </w:r>
      <w:r>
        <w:rPr>
          <w:rFonts w:hint="eastAsia" w:ascii="宋体" w:hAnsi="宋体"/>
          <w:sz w:val="32"/>
          <w14:shadow w14:blurRad="50800" w14:dist="38100" w14:dir="2700000" w14:sx="100000" w14:sy="100000" w14:kx="0" w14:ky="0" w14:algn="tl">
            <w14:srgbClr w14:val="000000">
              <w14:alpha w14:val="60000"/>
            </w14:srgbClr>
          </w14:shadow>
        </w:rPr>
        <w:t>月</w:t>
      </w:r>
      <w:r>
        <w:rPr>
          <w:rFonts w:hint="eastAsia" w:ascii="宋体" w:hAnsi="宋体"/>
          <w:sz w:val="32"/>
          <w:lang w:val="en-US" w:eastAsia="zh-CN"/>
          <w14:shadow w14:blurRad="50800" w14:dist="38100" w14:dir="2700000" w14:sx="100000" w14:sy="100000" w14:kx="0" w14:ky="0" w14:algn="tl">
            <w14:srgbClr w14:val="000000">
              <w14:alpha w14:val="60000"/>
            </w14:srgbClr>
          </w14:shadow>
        </w:rPr>
        <w:t>2</w:t>
      </w:r>
      <w:r>
        <w:rPr>
          <w:rFonts w:hint="eastAsia" w:ascii="宋体" w:hAnsi="宋体"/>
          <w:sz w:val="32"/>
          <w14:shadow w14:blurRad="50800" w14:dist="38100" w14:dir="2700000" w14:sx="100000" w14:sy="100000" w14:kx="0" w14:ky="0" w14:algn="tl">
            <w14:srgbClr w14:val="000000">
              <w14:alpha w14:val="60000"/>
            </w14:srgbClr>
          </w14:shadow>
        </w:rPr>
        <w:t>日</w:t>
      </w:r>
    </w:p>
    <w:p>
      <w:pPr>
        <w:pStyle w:val="13"/>
        <w:numPr>
          <w:ilvl w:val="0"/>
          <w:numId w:val="0"/>
        </w:numPr>
        <w:spacing w:before="0" w:after="0" w:line="400" w:lineRule="exact"/>
        <w:outlineLvl w:val="9"/>
        <w:rPr>
          <w:rFonts w:ascii="宋体" w:hAnsi="宋体"/>
          <w:sz w:val="24"/>
          <w:szCs w:val="24"/>
        </w:rPr>
      </w:pPr>
      <w:r>
        <w:rPr>
          <w:rFonts w:ascii="宋体" w:hAnsi="宋体"/>
        </w:rPr>
        <w:br w:type="page"/>
      </w:r>
      <w:r>
        <w:rPr>
          <w:rFonts w:hint="eastAsia" w:ascii="宋体" w:hAnsi="宋体"/>
          <w:sz w:val="24"/>
          <w:szCs w:val="24"/>
        </w:rPr>
        <w:t>第一章 总 则</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bCs w:val="0"/>
          <w:sz w:val="24"/>
          <w:szCs w:val="24"/>
        </w:rPr>
        <w:t>一、磋商文件</w:t>
      </w:r>
    </w:p>
    <w:p>
      <w:pPr>
        <w:pStyle w:val="14"/>
        <w:numPr>
          <w:ilvl w:val="0"/>
          <w:numId w:val="0"/>
        </w:numPr>
        <w:ind w:firstLine="480" w:firstLineChars="200"/>
        <w:rPr>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14"/>
        <w:numPr>
          <w:ilvl w:val="0"/>
          <w:numId w:val="0"/>
        </w:numPr>
        <w:ind w:firstLine="472" w:firstLineChars="196"/>
        <w:rPr>
          <w:b/>
          <w:sz w:val="24"/>
          <w:szCs w:val="24"/>
        </w:rPr>
      </w:pPr>
      <w:r>
        <w:rPr>
          <w:rFonts w:hint="eastAsia"/>
          <w:b/>
          <w:sz w:val="24"/>
          <w:szCs w:val="24"/>
        </w:rPr>
        <w:t>2.磋商文件的澄清</w:t>
      </w:r>
    </w:p>
    <w:p>
      <w:pPr>
        <w:pStyle w:val="14"/>
        <w:numPr>
          <w:ilvl w:val="0"/>
          <w:numId w:val="0"/>
        </w:numPr>
        <w:ind w:firstLine="480" w:firstLineChars="200"/>
        <w:rPr>
          <w:sz w:val="24"/>
          <w:szCs w:val="24"/>
        </w:rPr>
      </w:pPr>
      <w:r>
        <w:rPr>
          <w:rFonts w:hint="eastAsia"/>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sz w:val="24"/>
          <w:szCs w:val="24"/>
          <w:shd w:val="clear" w:color="auto" w:fill="FFFFFF"/>
        </w:rPr>
        <w:t>kwxyjzcg@126</w:t>
      </w:r>
      <w:r>
        <w:rPr>
          <w:sz w:val="24"/>
          <w:szCs w:val="24"/>
          <w:shd w:val="clear" w:color="auto" w:fill="FFFFFF"/>
        </w:rPr>
        <w:t>.com</w:t>
      </w:r>
      <w:r>
        <w:rPr>
          <w:rFonts w:hint="eastAsia"/>
          <w:sz w:val="24"/>
          <w:szCs w:val="24"/>
        </w:rPr>
        <w:t>）。集中采购中心将以书面形式或通过</w:t>
      </w:r>
      <w:r>
        <w:rPr>
          <w:rFonts w:hint="eastAsia"/>
          <w:kern w:val="2"/>
          <w:sz w:val="24"/>
          <w:szCs w:val="24"/>
        </w:rPr>
        <w:t>“江苏师范大学科文学院网站”（http://kwxy.jsnu.edu.cn/）发布</w:t>
      </w:r>
      <w:r>
        <w:rPr>
          <w:rFonts w:hint="eastAsia"/>
          <w:sz w:val="24"/>
          <w:szCs w:val="24"/>
        </w:rPr>
        <w:t>公告。</w:t>
      </w:r>
    </w:p>
    <w:p>
      <w:pPr>
        <w:pStyle w:val="14"/>
        <w:numPr>
          <w:ilvl w:val="0"/>
          <w:numId w:val="0"/>
        </w:numPr>
        <w:ind w:firstLine="472" w:firstLineChars="196"/>
        <w:rPr>
          <w:b/>
          <w:sz w:val="24"/>
          <w:szCs w:val="24"/>
        </w:rPr>
      </w:pPr>
      <w:r>
        <w:rPr>
          <w:rFonts w:hint="eastAsia"/>
          <w:b/>
          <w:sz w:val="24"/>
          <w:szCs w:val="24"/>
        </w:rPr>
        <w:t>3.磋商文件的修改</w:t>
      </w:r>
    </w:p>
    <w:p>
      <w:pPr>
        <w:pStyle w:val="14"/>
        <w:numPr>
          <w:ilvl w:val="0"/>
          <w:numId w:val="0"/>
        </w:numPr>
        <w:ind w:firstLine="480" w:firstLineChars="200"/>
        <w:rPr>
          <w:sz w:val="24"/>
          <w:szCs w:val="24"/>
        </w:rPr>
      </w:pPr>
      <w:r>
        <w:rPr>
          <w:rFonts w:hint="eastAsia"/>
          <w:sz w:val="24"/>
          <w:szCs w:val="24"/>
        </w:rPr>
        <w:t>3.1在投标截止期5日以前任何时候，采购人无论出于何种原因，均可对磋商文件用补充文件的方式进行修改。</w:t>
      </w:r>
    </w:p>
    <w:p>
      <w:pPr>
        <w:pStyle w:val="14"/>
        <w:numPr>
          <w:ilvl w:val="0"/>
          <w:numId w:val="0"/>
        </w:numPr>
        <w:ind w:firstLine="480" w:firstLineChars="200"/>
        <w:rPr>
          <w:sz w:val="24"/>
          <w:szCs w:val="24"/>
        </w:rPr>
      </w:pPr>
      <w:r>
        <w:rPr>
          <w:rFonts w:hint="eastAsia"/>
          <w:sz w:val="24"/>
          <w:szCs w:val="24"/>
        </w:rPr>
        <w:t>3.2对磋商文件的修改，将通过</w:t>
      </w:r>
      <w:r>
        <w:rPr>
          <w:rFonts w:hint="eastAsia"/>
          <w:kern w:val="2"/>
          <w:sz w:val="24"/>
          <w:szCs w:val="24"/>
        </w:rPr>
        <w:t>“江苏师范大学科文学院网站（http://kwxy.jsnu.edu.cn/）发布</w:t>
      </w:r>
      <w:r>
        <w:rPr>
          <w:rFonts w:hint="eastAsia"/>
          <w:sz w:val="24"/>
          <w:szCs w:val="24"/>
        </w:rPr>
        <w:t>公告。补充文件将作为磋商文件的组成部分，对所有领取了磋商文件的投标人均具有约束力。</w:t>
      </w:r>
    </w:p>
    <w:p>
      <w:pPr>
        <w:pStyle w:val="14"/>
        <w:numPr>
          <w:ilvl w:val="0"/>
          <w:numId w:val="0"/>
        </w:numPr>
        <w:ind w:firstLine="480" w:firstLineChars="200"/>
        <w:rPr>
          <w:sz w:val="24"/>
          <w:szCs w:val="24"/>
        </w:rPr>
      </w:pPr>
      <w:r>
        <w:rPr>
          <w:rFonts w:hint="eastAsia"/>
          <w:sz w:val="24"/>
          <w:szCs w:val="24"/>
        </w:rPr>
        <w:t>3.3为使投标人有足够的时间按磋商文件的修改要求考虑修正磋商文件，采购人可酌情推迟投标日期，并将具体变更情况通过</w:t>
      </w:r>
      <w:r>
        <w:rPr>
          <w:rFonts w:hint="eastAsia"/>
          <w:kern w:val="2"/>
          <w:sz w:val="24"/>
          <w:szCs w:val="24"/>
        </w:rPr>
        <w:t xml:space="preserve"> “江苏师范大学科文学院网站”</w:t>
      </w:r>
      <w:r>
        <w:rPr>
          <w:rFonts w:hint="eastAsia"/>
          <w:sz w:val="24"/>
          <w:szCs w:val="24"/>
        </w:rPr>
        <w:t>公告。</w:t>
      </w:r>
    </w:p>
    <w:p>
      <w:pPr>
        <w:pStyle w:val="14"/>
        <w:numPr>
          <w:ilvl w:val="0"/>
          <w:numId w:val="0"/>
        </w:numPr>
        <w:ind w:firstLine="472" w:firstLineChars="196"/>
        <w:rPr>
          <w:b/>
          <w:sz w:val="24"/>
          <w:szCs w:val="24"/>
        </w:rPr>
      </w:pPr>
      <w:r>
        <w:rPr>
          <w:rFonts w:hint="eastAsia"/>
          <w:b/>
          <w:sz w:val="24"/>
          <w:szCs w:val="24"/>
        </w:rPr>
        <w:t>4. 通知</w:t>
      </w:r>
    </w:p>
    <w:p>
      <w:pPr>
        <w:pStyle w:val="14"/>
        <w:numPr>
          <w:ilvl w:val="0"/>
          <w:numId w:val="0"/>
        </w:numPr>
        <w:ind w:firstLine="480" w:firstLineChars="200"/>
        <w:rPr>
          <w:sz w:val="24"/>
          <w:szCs w:val="24"/>
        </w:rPr>
      </w:pPr>
      <w:r>
        <w:rPr>
          <w:rFonts w:hint="eastAsia"/>
          <w:sz w:val="24"/>
          <w:szCs w:val="24"/>
        </w:rPr>
        <w:t>对与本项目有关的通知，采购人将通过“</w:t>
      </w:r>
      <w:r>
        <w:rPr>
          <w:rFonts w:hint="eastAsia"/>
          <w:kern w:val="2"/>
          <w:sz w:val="24"/>
          <w:szCs w:val="24"/>
        </w:rPr>
        <w:t>江苏师范大学科文学院网站</w:t>
      </w:r>
      <w:r>
        <w:rPr>
          <w:rFonts w:hint="eastAsia"/>
          <w:sz w:val="24"/>
          <w:szCs w:val="24"/>
        </w:rPr>
        <w:t>”发布公告，请投标人自行关注。</w:t>
      </w:r>
    </w:p>
    <w:p>
      <w:pPr>
        <w:pStyle w:val="14"/>
        <w:numPr>
          <w:ilvl w:val="0"/>
          <w:numId w:val="0"/>
        </w:numPr>
        <w:ind w:firstLine="482" w:firstLineChars="200"/>
        <w:rPr>
          <w:b/>
          <w:sz w:val="24"/>
          <w:szCs w:val="24"/>
        </w:rPr>
      </w:pPr>
      <w:r>
        <w:rPr>
          <w:b/>
          <w:sz w:val="24"/>
          <w:szCs w:val="24"/>
        </w:rPr>
        <w:t>5.</w:t>
      </w:r>
      <w:r>
        <w:rPr>
          <w:rFonts w:hint="eastAsia"/>
          <w:b/>
          <w:sz w:val="24"/>
          <w:szCs w:val="24"/>
        </w:rPr>
        <w:t>投标人资格条件</w:t>
      </w:r>
    </w:p>
    <w:p>
      <w:pPr>
        <w:pStyle w:val="13"/>
        <w:numPr>
          <w:ilvl w:val="0"/>
          <w:numId w:val="0"/>
        </w:numPr>
        <w:spacing w:before="0" w:after="0"/>
        <w:ind w:firstLine="480" w:firstLineChars="200"/>
        <w:jc w:val="both"/>
        <w:outlineLvl w:val="9"/>
        <w:rPr>
          <w:rFonts w:ascii="宋体" w:hAnsi="宋体"/>
          <w:b w:val="0"/>
          <w:bCs w:val="0"/>
          <w:sz w:val="24"/>
        </w:rPr>
      </w:pPr>
      <w:r>
        <w:rPr>
          <w:rFonts w:hint="eastAsia" w:ascii="宋体" w:hAnsi="宋体"/>
          <w:b w:val="0"/>
          <w:bCs w:val="0"/>
          <w:sz w:val="24"/>
        </w:rPr>
        <w:t>1）符合《中华人民共和国政府采购法》第二十二条要求，在中华人民共和国境内注册，具有独立法人资格，能承担本项目的开水器设备生产企业、经销商。若经销商参加投标，需保证在中标后提供生产厂家针对本项目的授权书，否则将取消中标候选人资格。</w:t>
      </w:r>
    </w:p>
    <w:p>
      <w:pPr>
        <w:pStyle w:val="13"/>
        <w:numPr>
          <w:ilvl w:val="0"/>
          <w:numId w:val="0"/>
        </w:numPr>
        <w:spacing w:before="0" w:after="0"/>
        <w:ind w:firstLine="480" w:firstLineChars="200"/>
        <w:jc w:val="both"/>
        <w:outlineLvl w:val="9"/>
        <w:rPr>
          <w:rFonts w:ascii="宋体" w:hAnsi="宋体"/>
          <w:b w:val="0"/>
          <w:bCs w:val="0"/>
          <w:sz w:val="24"/>
        </w:rPr>
      </w:pPr>
      <w:r>
        <w:rPr>
          <w:rFonts w:hint="eastAsia" w:ascii="宋体" w:hAnsi="宋体"/>
          <w:b w:val="0"/>
          <w:bCs w:val="0"/>
          <w:sz w:val="24"/>
        </w:rPr>
        <w:t>2)企业具有良好的业绩，近三年内从事过类似项目的业绩证明（提供合同原件备查）。</w:t>
      </w:r>
    </w:p>
    <w:p>
      <w:pPr>
        <w:pStyle w:val="13"/>
        <w:numPr>
          <w:ilvl w:val="0"/>
          <w:numId w:val="0"/>
        </w:numPr>
        <w:spacing w:before="0" w:after="0"/>
        <w:ind w:firstLine="480" w:firstLineChars="200"/>
        <w:jc w:val="both"/>
        <w:outlineLvl w:val="9"/>
        <w:rPr>
          <w:rFonts w:ascii="宋体" w:hAnsi="宋体"/>
          <w:b w:val="0"/>
          <w:bCs w:val="0"/>
          <w:sz w:val="24"/>
        </w:rPr>
      </w:pPr>
      <w:r>
        <w:rPr>
          <w:rFonts w:hint="eastAsia" w:ascii="宋体" w:hAnsi="宋体"/>
          <w:b w:val="0"/>
          <w:bCs w:val="0"/>
          <w:sz w:val="24"/>
        </w:rPr>
        <w:t>3)企业具有良好的信誉及健全的财务制度，具有履行合同所必须的设备和专业技术能力。</w:t>
      </w:r>
    </w:p>
    <w:p>
      <w:pPr>
        <w:pStyle w:val="13"/>
        <w:numPr>
          <w:ilvl w:val="0"/>
          <w:numId w:val="0"/>
        </w:numPr>
        <w:spacing w:before="0" w:after="0"/>
        <w:ind w:firstLine="480" w:firstLineChars="200"/>
        <w:jc w:val="both"/>
        <w:outlineLvl w:val="9"/>
        <w:rPr>
          <w:rFonts w:ascii="宋体" w:hAnsi="宋体"/>
          <w:b w:val="0"/>
          <w:bCs w:val="0"/>
          <w:sz w:val="24"/>
        </w:rPr>
      </w:pPr>
      <w:r>
        <w:rPr>
          <w:rFonts w:hint="eastAsia" w:ascii="宋体" w:hAnsi="宋体"/>
          <w:b w:val="0"/>
          <w:bCs w:val="0"/>
          <w:sz w:val="24"/>
        </w:rPr>
        <w:t>4)近五年内企业没有重大违法违规记录。</w:t>
      </w:r>
    </w:p>
    <w:p>
      <w:pPr>
        <w:pStyle w:val="13"/>
        <w:numPr>
          <w:ilvl w:val="0"/>
          <w:numId w:val="0"/>
        </w:numPr>
        <w:spacing w:before="0" w:after="0"/>
        <w:ind w:firstLine="480" w:firstLineChars="200"/>
        <w:jc w:val="both"/>
        <w:outlineLvl w:val="9"/>
        <w:rPr>
          <w:rFonts w:ascii="宋体" w:hAnsi="宋体"/>
          <w:b w:val="0"/>
          <w:bCs w:val="0"/>
          <w:sz w:val="24"/>
          <w:shd w:val="clear" w:color="FFFFFF" w:fill="D9D9D9"/>
        </w:rPr>
      </w:pPr>
      <w:r>
        <w:rPr>
          <w:rFonts w:hint="eastAsia" w:ascii="宋体" w:hAnsi="宋体"/>
          <w:b w:val="0"/>
          <w:bCs w:val="0"/>
          <w:sz w:val="24"/>
        </w:rPr>
        <w:t>5)所投产品必须是原装全新正品，投标时需提供所投产品的质量检验、检测报告。包括：</w:t>
      </w:r>
      <w:r>
        <w:rPr>
          <w:rFonts w:hint="eastAsia" w:ascii="宋体" w:hAnsi="宋体"/>
          <w:b w:val="0"/>
          <w:bCs w:val="0"/>
          <w:color w:val="000000" w:themeColor="text1"/>
          <w:sz w:val="24"/>
          <w14:textFill>
            <w14:solidFill>
              <w14:schemeClr w14:val="tx1"/>
            </w14:solidFill>
          </w14:textFill>
        </w:rPr>
        <w:t>接触水的设备配件（加热管或内胆）提供省级检测机构的检验报告。</w:t>
      </w:r>
    </w:p>
    <w:p>
      <w:pPr>
        <w:pStyle w:val="13"/>
        <w:numPr>
          <w:ilvl w:val="0"/>
          <w:numId w:val="0"/>
        </w:numPr>
        <w:spacing w:before="0" w:after="0"/>
        <w:ind w:firstLine="480" w:firstLineChars="200"/>
        <w:jc w:val="both"/>
        <w:outlineLvl w:val="9"/>
        <w:rPr>
          <w:rFonts w:ascii="宋体" w:hAnsi="宋体"/>
          <w:b w:val="0"/>
          <w:bCs w:val="0"/>
          <w:sz w:val="24"/>
        </w:rPr>
      </w:pPr>
      <w:r>
        <w:rPr>
          <w:rFonts w:hint="eastAsia" w:ascii="宋体" w:hAnsi="宋体"/>
          <w:b w:val="0"/>
          <w:bCs w:val="0"/>
          <w:sz w:val="24"/>
        </w:rPr>
        <w:t>6)本次招标不接受联合体</w:t>
      </w:r>
      <w:r>
        <w:rPr>
          <w:rFonts w:hint="eastAsia" w:ascii="宋体" w:hAnsi="宋体"/>
          <w:b w:val="0"/>
          <w:bCs w:val="0"/>
          <w:kern w:val="0"/>
          <w:sz w:val="24"/>
          <w:szCs w:val="24"/>
        </w:rPr>
        <w:t>投标</w:t>
      </w:r>
      <w:r>
        <w:rPr>
          <w:rFonts w:hint="eastAsia" w:ascii="宋体" w:hAnsi="宋体"/>
          <w:b w:val="0"/>
          <w:bCs w:val="0"/>
          <w:sz w:val="24"/>
        </w:rPr>
        <w:t>。</w:t>
      </w:r>
    </w:p>
    <w:p>
      <w:pPr>
        <w:pStyle w:val="13"/>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rPr>
        <w:t>6.付款方式：</w:t>
      </w:r>
      <w:r>
        <w:rPr>
          <w:rFonts w:hint="eastAsia" w:ascii="宋体" w:hAnsi="宋体"/>
          <w:b w:val="0"/>
          <w:sz w:val="24"/>
        </w:rPr>
        <w:t>无预付款；货到安装验收合格后支付合同价90%，</w:t>
      </w:r>
      <w:r>
        <w:rPr>
          <w:rFonts w:hint="eastAsia" w:ascii="宋体" w:hAnsi="宋体"/>
          <w:b w:val="0"/>
          <w:sz w:val="24"/>
          <w:lang w:val="en-US" w:eastAsia="zh-CN"/>
        </w:rPr>
        <w:t>剩余10%</w:t>
      </w:r>
      <w:r>
        <w:rPr>
          <w:rFonts w:hint="eastAsia" w:ascii="宋体" w:hAnsi="宋体"/>
          <w:b w:val="0"/>
          <w:sz w:val="24"/>
        </w:rPr>
        <w:t>在使用</w:t>
      </w:r>
      <w:r>
        <w:rPr>
          <w:rFonts w:hint="eastAsia" w:ascii="宋体" w:hAnsi="宋体"/>
          <w:b w:val="0"/>
          <w:sz w:val="24"/>
          <w:lang w:val="en-US" w:eastAsia="zh-CN"/>
        </w:rPr>
        <w:t>期</w:t>
      </w:r>
      <w:r>
        <w:rPr>
          <w:rFonts w:hint="eastAsia" w:ascii="宋体" w:hAnsi="宋体"/>
          <w:b w:val="0"/>
          <w:sz w:val="24"/>
        </w:rPr>
        <w:t>满一年无质量和服务问题一次性付清尾款（不计息）。</w:t>
      </w:r>
    </w:p>
    <w:p>
      <w:pPr>
        <w:pStyle w:val="13"/>
        <w:numPr>
          <w:ilvl w:val="0"/>
          <w:numId w:val="0"/>
        </w:numPr>
        <w:spacing w:before="0" w:after="0"/>
        <w:ind w:firstLine="482" w:firstLineChars="200"/>
        <w:jc w:val="left"/>
        <w:outlineLvl w:val="9"/>
        <w:rPr>
          <w:rFonts w:ascii="宋体" w:hAnsi="宋体"/>
          <w:b w:val="0"/>
          <w:sz w:val="24"/>
          <w:shd w:val="clear" w:color="auto" w:fill="FFFF00"/>
        </w:rPr>
      </w:pPr>
      <w:r>
        <w:rPr>
          <w:rFonts w:hint="eastAsia" w:ascii="宋体" w:hAnsi="宋体"/>
          <w:bCs w:val="0"/>
          <w:sz w:val="24"/>
        </w:rPr>
        <w:t>7.项目预算：</w:t>
      </w:r>
      <w:r>
        <w:rPr>
          <w:rFonts w:hint="eastAsia" w:ascii="宋体" w:hAnsi="宋体"/>
          <w:b w:val="0"/>
          <w:sz w:val="24"/>
        </w:rPr>
        <w:t>不高于23.04万元。</w:t>
      </w:r>
    </w:p>
    <w:p>
      <w:pPr>
        <w:ind w:firstLine="482" w:firstLineChars="200"/>
        <w:rPr>
          <w:rFonts w:ascii="宋体" w:hAnsi="宋体"/>
          <w:sz w:val="24"/>
        </w:rPr>
      </w:pPr>
      <w:r>
        <w:rPr>
          <w:rFonts w:hint="eastAsia" w:ascii="宋体" w:hAnsi="宋体"/>
          <w:b/>
          <w:bCs/>
          <w:sz w:val="24"/>
        </w:rPr>
        <w:t>8.现场勘查：</w:t>
      </w:r>
      <w:r>
        <w:rPr>
          <w:rFonts w:hint="eastAsia" w:ascii="宋体" w:hAnsi="宋体"/>
          <w:bCs/>
          <w:sz w:val="24"/>
        </w:rPr>
        <w:t>本项目不安排集中现场勘查，投标人可自行安排现场考察事宜，进入现场前联系相关负责老师，</w:t>
      </w:r>
      <w:r>
        <w:rPr>
          <w:rFonts w:hint="eastAsia" w:ascii="宋体" w:hAnsi="宋体"/>
          <w:sz w:val="24"/>
        </w:rPr>
        <w:t>按照院方疫控期间的各项防疫规定和要求并提前一天提供报备资料，费用自理。院方现场对接联系人</w:t>
      </w:r>
      <w:r>
        <w:rPr>
          <w:rFonts w:hint="eastAsia" w:ascii="宋体" w:hAnsi="宋体"/>
          <w:b/>
          <w:bCs/>
          <w:sz w:val="24"/>
        </w:rPr>
        <w:t>倪凯军，联系方式13852081771</w:t>
      </w:r>
      <w:r>
        <w:rPr>
          <w:rFonts w:hint="eastAsia" w:ascii="宋体" w:hAnsi="宋体"/>
          <w:sz w:val="24"/>
        </w:rPr>
        <w:t>。</w:t>
      </w:r>
    </w:p>
    <w:p>
      <w:pPr>
        <w:pStyle w:val="13"/>
        <w:numPr>
          <w:ilvl w:val="0"/>
          <w:numId w:val="0"/>
        </w:numPr>
        <w:spacing w:before="0" w:after="0"/>
        <w:ind w:firstLine="482" w:firstLineChars="200"/>
        <w:jc w:val="left"/>
        <w:outlineLvl w:val="9"/>
        <w:rPr>
          <w:rFonts w:hint="eastAsia" w:ascii="宋体" w:hAnsi="宋体"/>
          <w:b/>
          <w:bCs w:val="0"/>
          <w:sz w:val="24"/>
          <w:shd w:val="clear" w:color="auto" w:fill="auto"/>
        </w:rPr>
      </w:pPr>
      <w:r>
        <w:rPr>
          <w:rFonts w:hint="eastAsia" w:ascii="宋体" w:hAnsi="宋体"/>
          <w:bCs w:val="0"/>
          <w:sz w:val="24"/>
        </w:rPr>
        <w:t>9.样品提供：</w:t>
      </w:r>
      <w:r>
        <w:rPr>
          <w:rFonts w:hint="eastAsia" w:ascii="宋体" w:hAnsi="宋体"/>
          <w:b/>
          <w:bCs w:val="0"/>
          <w:sz w:val="24"/>
          <w:shd w:val="clear" w:color="auto" w:fill="auto"/>
        </w:rPr>
        <w:t>本项目要求投标人提供具有</w:t>
      </w:r>
      <w:r>
        <w:rPr>
          <w:rFonts w:hint="eastAsia" w:ascii="宋体" w:hAnsi="宋体"/>
          <w:b/>
          <w:bCs w:val="0"/>
          <w:sz w:val="24"/>
          <w:shd w:val="clear" w:color="auto" w:fill="auto"/>
          <w:lang w:val="en-US" w:eastAsia="zh-CN"/>
        </w:rPr>
        <w:t>产品</w:t>
      </w:r>
      <w:r>
        <w:rPr>
          <w:rFonts w:hint="eastAsia" w:ascii="宋体" w:hAnsi="宋体"/>
          <w:b/>
          <w:bCs w:val="0"/>
          <w:sz w:val="24"/>
          <w:shd w:val="clear" w:color="auto" w:fill="auto"/>
        </w:rPr>
        <w:t>功能、外观、</w:t>
      </w:r>
      <w:r>
        <w:rPr>
          <w:rFonts w:hint="eastAsia" w:ascii="宋体" w:hAnsi="宋体"/>
          <w:b/>
          <w:bCs w:val="0"/>
          <w:sz w:val="24"/>
          <w:shd w:val="clear" w:color="auto" w:fill="auto"/>
          <w:lang w:val="en-US" w:eastAsia="zh-CN"/>
        </w:rPr>
        <w:t>尺寸、</w:t>
      </w:r>
      <w:r>
        <w:rPr>
          <w:rFonts w:hint="eastAsia" w:ascii="宋体" w:hAnsi="宋体"/>
          <w:b/>
          <w:bCs w:val="0"/>
          <w:sz w:val="24"/>
          <w:shd w:val="clear" w:color="auto" w:fill="auto"/>
        </w:rPr>
        <w:t>颜色、材质等介绍的彩页说明书5份。</w:t>
      </w:r>
    </w:p>
    <w:p>
      <w:pPr>
        <w:pStyle w:val="13"/>
        <w:numPr>
          <w:ilvl w:val="0"/>
          <w:numId w:val="0"/>
        </w:numPr>
        <w:spacing w:before="0" w:after="0"/>
        <w:ind w:firstLine="482" w:firstLineChars="200"/>
        <w:jc w:val="left"/>
        <w:outlineLvl w:val="9"/>
        <w:rPr>
          <w:rFonts w:ascii="宋体" w:hAnsi="宋体"/>
          <w:b w:val="0"/>
          <w:sz w:val="24"/>
          <w:shd w:val="clear" w:color="auto" w:fill="auto"/>
        </w:rPr>
      </w:pPr>
      <w:r>
        <w:rPr>
          <w:rFonts w:hint="eastAsia" w:ascii="宋体" w:hAnsi="宋体"/>
          <w:kern w:val="0"/>
          <w:sz w:val="24"/>
          <w:szCs w:val="24"/>
          <w:shd w:val="clear" w:color="auto" w:fill="auto"/>
        </w:rPr>
        <w:t>1</w:t>
      </w:r>
      <w:r>
        <w:rPr>
          <w:rFonts w:hint="eastAsia" w:ascii="宋体" w:hAnsi="宋体"/>
          <w:kern w:val="0"/>
          <w:sz w:val="24"/>
          <w:szCs w:val="24"/>
          <w:shd w:val="clear" w:color="auto" w:fill="auto"/>
          <w:lang w:val="en-US" w:eastAsia="zh-CN"/>
        </w:rPr>
        <w:t>0</w:t>
      </w:r>
      <w:r>
        <w:rPr>
          <w:rFonts w:hint="eastAsia" w:ascii="宋体" w:hAnsi="宋体"/>
          <w:kern w:val="0"/>
          <w:sz w:val="24"/>
          <w:szCs w:val="24"/>
          <w:shd w:val="clear" w:color="auto" w:fill="auto"/>
        </w:rPr>
        <w:t>.供货期：不超过20</w:t>
      </w:r>
      <w:r>
        <w:rPr>
          <w:rFonts w:ascii="宋体" w:hAnsi="宋体"/>
          <w:kern w:val="0"/>
          <w:sz w:val="24"/>
          <w:szCs w:val="24"/>
          <w:shd w:val="clear" w:color="auto" w:fill="auto"/>
        </w:rPr>
        <w:t>日历天，</w:t>
      </w:r>
      <w:r>
        <w:rPr>
          <w:rFonts w:hint="eastAsia" w:ascii="宋体" w:hAnsi="宋体"/>
          <w:b w:val="0"/>
          <w:sz w:val="24"/>
          <w:shd w:val="clear" w:color="auto" w:fill="auto"/>
        </w:rPr>
        <w:t>供货商自报供货期。</w:t>
      </w:r>
    </w:p>
    <w:p>
      <w:pPr>
        <w:pStyle w:val="13"/>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lang w:val="en-US" w:eastAsia="zh-CN"/>
        </w:rPr>
        <w:t>11</w:t>
      </w:r>
      <w:r>
        <w:rPr>
          <w:rFonts w:hint="eastAsia" w:ascii="宋体" w:hAnsi="宋体"/>
          <w:kern w:val="0"/>
          <w:sz w:val="24"/>
          <w:szCs w:val="24"/>
        </w:rPr>
        <w:t>.货到地点：</w:t>
      </w:r>
      <w:r>
        <w:rPr>
          <w:rFonts w:hint="eastAsia" w:ascii="宋体" w:hAnsi="宋体"/>
          <w:b w:val="0"/>
          <w:sz w:val="24"/>
        </w:rPr>
        <w:t>科文学院潘安湖校区。</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二、投标文件</w:t>
      </w:r>
    </w:p>
    <w:p>
      <w:pPr>
        <w:ind w:firstLine="480" w:firstLineChars="200"/>
        <w:rPr>
          <w:rFonts w:ascii="宋体" w:hAnsi="宋体"/>
          <w:kern w:val="0"/>
          <w:sz w:val="24"/>
        </w:rPr>
      </w:pPr>
      <w:r>
        <w:rPr>
          <w:rFonts w:hint="eastAsia" w:ascii="宋体" w:hAnsi="宋体"/>
          <w:kern w:val="0"/>
          <w:sz w:val="24"/>
        </w:rPr>
        <w:t>投标文件即为投标人的响应文件，下同。</w:t>
      </w:r>
    </w:p>
    <w:p>
      <w:pPr>
        <w:pStyle w:val="14"/>
        <w:numPr>
          <w:ilvl w:val="0"/>
          <w:numId w:val="0"/>
        </w:numPr>
        <w:ind w:firstLine="472" w:firstLineChars="196"/>
        <w:rPr>
          <w:b/>
          <w:sz w:val="24"/>
          <w:szCs w:val="24"/>
        </w:rPr>
      </w:pPr>
      <w:r>
        <w:rPr>
          <w:rFonts w:hint="eastAsia"/>
          <w:b/>
          <w:sz w:val="24"/>
          <w:szCs w:val="24"/>
        </w:rPr>
        <w:t>1. 投标文件的语言和计量单位</w:t>
      </w:r>
    </w:p>
    <w:p>
      <w:pPr>
        <w:pStyle w:val="14"/>
        <w:numPr>
          <w:ilvl w:val="0"/>
          <w:numId w:val="0"/>
        </w:numPr>
        <w:ind w:firstLine="480" w:firstLineChars="200"/>
        <w:rPr>
          <w:sz w:val="24"/>
          <w:szCs w:val="24"/>
        </w:rPr>
      </w:pPr>
      <w:r>
        <w:rPr>
          <w:rFonts w:hint="eastAsia"/>
          <w:sz w:val="24"/>
          <w:szCs w:val="24"/>
        </w:rPr>
        <w:t>1.1投标人所提供的投标文件包含技术文件、有关资料、说明等，均应使用中文简化字。</w:t>
      </w:r>
    </w:p>
    <w:p>
      <w:pPr>
        <w:pStyle w:val="14"/>
        <w:numPr>
          <w:ilvl w:val="0"/>
          <w:numId w:val="0"/>
        </w:numPr>
        <w:ind w:firstLine="480" w:firstLineChars="200"/>
        <w:rPr>
          <w:sz w:val="24"/>
          <w:szCs w:val="24"/>
        </w:rPr>
      </w:pPr>
      <w:r>
        <w:rPr>
          <w:rFonts w:hint="eastAsia"/>
          <w:sz w:val="24"/>
          <w:szCs w:val="24"/>
        </w:rPr>
        <w:t>1.2投标文件所使用的计量单位，均采用中华人民共和国法定计量单位。</w:t>
      </w:r>
    </w:p>
    <w:p>
      <w:pPr>
        <w:pStyle w:val="14"/>
        <w:numPr>
          <w:ilvl w:val="0"/>
          <w:numId w:val="0"/>
        </w:numPr>
        <w:ind w:firstLine="472" w:firstLineChars="196"/>
        <w:rPr>
          <w:b/>
          <w:sz w:val="24"/>
          <w:szCs w:val="24"/>
        </w:rPr>
      </w:pPr>
      <w:r>
        <w:rPr>
          <w:rFonts w:hint="eastAsia"/>
          <w:b/>
          <w:sz w:val="24"/>
          <w:szCs w:val="24"/>
        </w:rPr>
        <w:t>2投标文件的组成及相关要求</w:t>
      </w:r>
    </w:p>
    <w:p>
      <w:pPr>
        <w:pStyle w:val="14"/>
        <w:numPr>
          <w:ilvl w:val="0"/>
          <w:numId w:val="0"/>
        </w:numPr>
        <w:ind w:firstLine="480" w:firstLineChars="200"/>
        <w:rPr>
          <w:sz w:val="24"/>
          <w:szCs w:val="24"/>
        </w:rPr>
      </w:pPr>
      <w:r>
        <w:rPr>
          <w:rFonts w:hint="eastAsia"/>
          <w:sz w:val="24"/>
          <w:szCs w:val="24"/>
        </w:rPr>
        <w:t>为了方便评审，投标文件中的各项表格必须按照磋商文件要求制作。</w:t>
      </w:r>
    </w:p>
    <w:p>
      <w:pPr>
        <w:pStyle w:val="14"/>
        <w:numPr>
          <w:ilvl w:val="0"/>
          <w:numId w:val="0"/>
        </w:numPr>
        <w:ind w:firstLine="472" w:firstLineChars="196"/>
        <w:rPr>
          <w:b/>
          <w:sz w:val="24"/>
          <w:szCs w:val="24"/>
        </w:rPr>
      </w:pPr>
      <w:r>
        <w:rPr>
          <w:rFonts w:hint="eastAsia"/>
          <w:b/>
          <w:sz w:val="24"/>
          <w:szCs w:val="24"/>
        </w:rPr>
        <w:t>3.投标内容填写说明</w:t>
      </w:r>
    </w:p>
    <w:p>
      <w:pPr>
        <w:pStyle w:val="14"/>
        <w:numPr>
          <w:ilvl w:val="0"/>
          <w:numId w:val="0"/>
        </w:numPr>
        <w:ind w:firstLine="480" w:firstLineChars="200"/>
        <w:rPr>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14"/>
        <w:numPr>
          <w:ilvl w:val="0"/>
          <w:numId w:val="0"/>
        </w:numPr>
        <w:ind w:firstLine="480" w:firstLineChars="200"/>
        <w:rPr>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14"/>
        <w:numPr>
          <w:ilvl w:val="0"/>
          <w:numId w:val="0"/>
        </w:numPr>
        <w:ind w:firstLine="480" w:firstLineChars="200"/>
        <w:rPr>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rPr>
          <w:rFonts w:ascii="宋体" w:hAnsi="宋体"/>
          <w:sz w:val="24"/>
        </w:rPr>
      </w:pPr>
      <w:r>
        <w:rPr>
          <w:rFonts w:hint="eastAsia" w:ascii="宋体" w:hAnsi="宋体"/>
          <w:sz w:val="24"/>
        </w:rPr>
        <w:t>3.4报价一览表要求按格式统一填写，不得自行增减内容。</w:t>
      </w:r>
    </w:p>
    <w:p>
      <w:pPr>
        <w:pStyle w:val="14"/>
        <w:numPr>
          <w:ilvl w:val="0"/>
          <w:numId w:val="0"/>
        </w:numPr>
        <w:ind w:firstLine="480" w:firstLineChars="200"/>
        <w:rPr>
          <w:sz w:val="24"/>
          <w:szCs w:val="24"/>
        </w:rPr>
      </w:pPr>
      <w:r>
        <w:rPr>
          <w:rFonts w:hint="eastAsia"/>
          <w:sz w:val="24"/>
          <w:szCs w:val="24"/>
        </w:rPr>
        <w:t>本项目为交钥匙工程，投标报价应报货物递送到采购文件规定的工地指定交货地点（江苏师范大学科文学院潘安湖校区指定地点）并完成安装，报价应包括产品的生产、包装、运输、装卸、施工安装和调试、保质期内的服务、投标人的利润、税金和应承担的风险等所有费用。</w:t>
      </w:r>
    </w:p>
    <w:p>
      <w:pPr>
        <w:pStyle w:val="14"/>
        <w:numPr>
          <w:ilvl w:val="0"/>
          <w:numId w:val="0"/>
        </w:numPr>
        <w:ind w:firstLine="480" w:firstLineChars="200"/>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14"/>
        <w:numPr>
          <w:ilvl w:val="0"/>
          <w:numId w:val="0"/>
        </w:numPr>
        <w:ind w:firstLine="480" w:firstLineChars="200"/>
        <w:rPr>
          <w:sz w:val="24"/>
          <w:szCs w:val="24"/>
        </w:rPr>
      </w:pPr>
      <w:r>
        <w:rPr>
          <w:rFonts w:hint="eastAsia"/>
          <w:sz w:val="24"/>
          <w:szCs w:val="24"/>
        </w:rPr>
        <w:t>3.6</w:t>
      </w:r>
      <w:r>
        <w:rPr>
          <w:rFonts w:hint="eastAsia"/>
          <w:b/>
          <w:sz w:val="24"/>
          <w:szCs w:val="24"/>
        </w:rPr>
        <w:t>本项目有二次报价环节，二次报价不得高于一次报价，且二次报价为最终报价</w:t>
      </w:r>
      <w:r>
        <w:rPr>
          <w:rFonts w:hint="eastAsia"/>
          <w:sz w:val="24"/>
          <w:szCs w:val="24"/>
        </w:rPr>
        <w:t>。</w:t>
      </w:r>
    </w:p>
    <w:p>
      <w:pPr>
        <w:pStyle w:val="14"/>
        <w:numPr>
          <w:ilvl w:val="0"/>
          <w:numId w:val="0"/>
        </w:numPr>
        <w:ind w:firstLine="472" w:firstLineChars="196"/>
        <w:rPr>
          <w:b/>
          <w:sz w:val="24"/>
          <w:szCs w:val="24"/>
        </w:rPr>
      </w:pPr>
      <w:r>
        <w:rPr>
          <w:rFonts w:hint="eastAsia"/>
          <w:b/>
          <w:sz w:val="24"/>
          <w:szCs w:val="24"/>
        </w:rPr>
        <w:t>4.投标文件的编制</w:t>
      </w:r>
    </w:p>
    <w:p>
      <w:pPr>
        <w:pStyle w:val="14"/>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14"/>
        <w:numPr>
          <w:ilvl w:val="0"/>
          <w:numId w:val="3"/>
        </w:numPr>
        <w:rPr>
          <w:kern w:val="2"/>
          <w:sz w:val="24"/>
          <w:szCs w:val="24"/>
        </w:rPr>
      </w:pPr>
      <w:r>
        <w:rPr>
          <w:rFonts w:hint="eastAsia"/>
          <w:kern w:val="2"/>
          <w:sz w:val="24"/>
          <w:szCs w:val="24"/>
        </w:rPr>
        <w:t>资格审查符合性审查材料索引表</w:t>
      </w:r>
    </w:p>
    <w:p>
      <w:pPr>
        <w:pStyle w:val="14"/>
        <w:numPr>
          <w:ilvl w:val="0"/>
          <w:numId w:val="3"/>
        </w:numPr>
        <w:rPr>
          <w:kern w:val="2"/>
          <w:sz w:val="24"/>
          <w:szCs w:val="24"/>
        </w:rPr>
      </w:pPr>
      <w:r>
        <w:rPr>
          <w:rFonts w:hint="eastAsia"/>
          <w:kern w:val="2"/>
          <w:sz w:val="24"/>
          <w:szCs w:val="24"/>
        </w:rPr>
        <w:t>投标函；</w:t>
      </w:r>
    </w:p>
    <w:p>
      <w:pPr>
        <w:pStyle w:val="14"/>
        <w:numPr>
          <w:ilvl w:val="0"/>
          <w:numId w:val="3"/>
        </w:numPr>
        <w:rPr>
          <w:kern w:val="2"/>
          <w:sz w:val="24"/>
          <w:szCs w:val="24"/>
        </w:rPr>
      </w:pPr>
      <w:r>
        <w:rPr>
          <w:rFonts w:hint="eastAsia"/>
          <w:kern w:val="2"/>
          <w:sz w:val="24"/>
          <w:szCs w:val="24"/>
        </w:rPr>
        <w:t>投标报价一览表；</w:t>
      </w:r>
    </w:p>
    <w:p>
      <w:pPr>
        <w:pStyle w:val="14"/>
        <w:numPr>
          <w:ilvl w:val="0"/>
          <w:numId w:val="3"/>
        </w:numPr>
        <w:rPr>
          <w:kern w:val="2"/>
          <w:sz w:val="24"/>
          <w:szCs w:val="24"/>
        </w:rPr>
      </w:pPr>
      <w:r>
        <w:rPr>
          <w:rFonts w:hint="eastAsia"/>
          <w:kern w:val="2"/>
          <w:sz w:val="24"/>
          <w:szCs w:val="24"/>
        </w:rPr>
        <w:t>法定代表人的授权委托书（原件封于投标文件正本中）；</w:t>
      </w:r>
    </w:p>
    <w:p>
      <w:pPr>
        <w:pStyle w:val="14"/>
        <w:numPr>
          <w:ilvl w:val="0"/>
          <w:numId w:val="3"/>
        </w:numPr>
        <w:rPr>
          <w:sz w:val="24"/>
          <w:szCs w:val="24"/>
        </w:rPr>
      </w:pPr>
      <w:r>
        <w:rPr>
          <w:rFonts w:hint="eastAsia"/>
          <w:sz w:val="24"/>
          <w:szCs w:val="24"/>
        </w:rPr>
        <w:t>承诺书（原件封于投标文件正本中）；</w:t>
      </w:r>
      <w:r>
        <w:rPr>
          <w:sz w:val="24"/>
          <w:szCs w:val="24"/>
        </w:rPr>
        <w:t xml:space="preserve"> </w:t>
      </w:r>
    </w:p>
    <w:p>
      <w:pPr>
        <w:pStyle w:val="14"/>
        <w:numPr>
          <w:ilvl w:val="0"/>
          <w:numId w:val="3"/>
        </w:numPr>
        <w:rPr>
          <w:kern w:val="2"/>
          <w:sz w:val="24"/>
          <w:szCs w:val="24"/>
        </w:rPr>
      </w:pPr>
      <w:r>
        <w:rPr>
          <w:rFonts w:hint="eastAsia"/>
          <w:kern w:val="2"/>
          <w:sz w:val="24"/>
          <w:szCs w:val="24"/>
        </w:rPr>
        <w:t>无重大违法记录的书面声明</w:t>
      </w:r>
      <w:bookmarkStart w:id="0" w:name="_Hlk38290086"/>
      <w:r>
        <w:rPr>
          <w:rFonts w:hint="eastAsia"/>
          <w:kern w:val="2"/>
          <w:sz w:val="24"/>
          <w:szCs w:val="24"/>
        </w:rPr>
        <w:t>（原件封于投标文件正本中）</w:t>
      </w:r>
      <w:bookmarkEnd w:id="0"/>
      <w:r>
        <w:rPr>
          <w:rFonts w:hint="eastAsia"/>
          <w:kern w:val="2"/>
          <w:sz w:val="24"/>
          <w:szCs w:val="24"/>
        </w:rPr>
        <w:t>；</w:t>
      </w:r>
    </w:p>
    <w:p>
      <w:pPr>
        <w:pStyle w:val="14"/>
        <w:numPr>
          <w:ilvl w:val="0"/>
          <w:numId w:val="3"/>
        </w:numPr>
        <w:rPr>
          <w:kern w:val="2"/>
          <w:sz w:val="24"/>
          <w:szCs w:val="24"/>
        </w:rPr>
      </w:pPr>
      <w:r>
        <w:rPr>
          <w:rFonts w:hint="eastAsia"/>
          <w:kern w:val="2"/>
          <w:sz w:val="24"/>
          <w:szCs w:val="24"/>
        </w:rPr>
        <w:t>投标单位情况介绍（简要说明）；</w:t>
      </w:r>
    </w:p>
    <w:p>
      <w:pPr>
        <w:pStyle w:val="14"/>
        <w:numPr>
          <w:ilvl w:val="0"/>
          <w:numId w:val="3"/>
        </w:numPr>
        <w:rPr>
          <w:kern w:val="2"/>
          <w:sz w:val="24"/>
          <w:szCs w:val="24"/>
        </w:rPr>
      </w:pPr>
      <w:r>
        <w:rPr>
          <w:rFonts w:hint="eastAsia"/>
          <w:kern w:val="2"/>
          <w:sz w:val="24"/>
          <w:szCs w:val="24"/>
        </w:rPr>
        <w:t>企业营业执照复印件；</w:t>
      </w:r>
    </w:p>
    <w:p>
      <w:pPr>
        <w:numPr>
          <w:ilvl w:val="0"/>
          <w:numId w:val="3"/>
        </w:numPr>
        <w:rPr>
          <w:rFonts w:ascii="宋体" w:hAnsi="宋体"/>
          <w:sz w:val="24"/>
        </w:rPr>
      </w:pPr>
      <w:r>
        <w:rPr>
          <w:rFonts w:hint="eastAsia" w:ascii="宋体" w:hAnsi="宋体"/>
          <w:sz w:val="24"/>
        </w:rPr>
        <w:t>投标人财务状况良好，提供：</w:t>
      </w:r>
    </w:p>
    <w:p>
      <w:pPr>
        <w:ind w:firstLine="480" w:firstLineChars="200"/>
        <w:rPr>
          <w:rFonts w:ascii="宋体" w:hAnsi="宋体"/>
          <w:sz w:val="24"/>
        </w:rPr>
      </w:pPr>
      <w:r>
        <w:rPr>
          <w:rFonts w:hint="eastAsia" w:ascii="宋体" w:hAnsi="宋体"/>
          <w:sz w:val="24"/>
        </w:rPr>
        <w:t>（1）投标人提交首次响应文件时间前6个月内任何1日的资产负债表复印件1份；</w:t>
      </w:r>
    </w:p>
    <w:p>
      <w:pPr>
        <w:ind w:firstLine="480" w:firstLineChars="200"/>
        <w:rPr>
          <w:rFonts w:ascii="宋体" w:hAnsi="宋体"/>
          <w:sz w:val="24"/>
        </w:rPr>
      </w:pPr>
      <w:r>
        <w:rPr>
          <w:rFonts w:hint="eastAsia" w:ascii="宋体" w:hAnsi="宋体"/>
          <w:sz w:val="24"/>
        </w:rPr>
        <w:t>（2）投标人提交首次响应文件时间前6个月内任何1月（不含本公告发布当月）利润表月报表复印件1份。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本条中（1）、（2）要求的材料无法提供时，可提供有审计资格的第三方出具的投标人2</w:t>
      </w:r>
      <w:r>
        <w:rPr>
          <w:rFonts w:ascii="宋体" w:hAnsi="宋体"/>
          <w:color w:val="000000"/>
          <w:sz w:val="24"/>
        </w:rPr>
        <w:t>020</w:t>
      </w:r>
      <w:r>
        <w:rPr>
          <w:rFonts w:hint="eastAsia" w:ascii="宋体" w:hAnsi="宋体"/>
          <w:color w:val="000000"/>
          <w:sz w:val="24"/>
        </w:rPr>
        <w:t>年财务审计报告复印件。</w:t>
      </w:r>
    </w:p>
    <w:p>
      <w:pPr>
        <w:pStyle w:val="14"/>
        <w:numPr>
          <w:ilvl w:val="0"/>
          <w:numId w:val="0"/>
        </w:numPr>
        <w:adjustRightInd/>
        <w:ind w:firstLine="480" w:firstLineChars="200"/>
        <w:jc w:val="left"/>
        <w:rPr>
          <w:kern w:val="2"/>
          <w:sz w:val="24"/>
          <w:szCs w:val="24"/>
        </w:rPr>
      </w:pPr>
      <w:r>
        <w:rPr>
          <w:rFonts w:hint="eastAsia"/>
          <w:sz w:val="24"/>
          <w:szCs w:val="24"/>
        </w:rPr>
        <w:t>4.10未被“信用中国”网站（www.creditchina.gov.cn）列入失信执行人、重大税收违法案件当事人名单、政府采购严重违法失信行为记录名单，否则投标无效。</w:t>
      </w:r>
      <w:r>
        <w:rPr>
          <w:rFonts w:hint="eastAsia"/>
          <w:b/>
          <w:sz w:val="24"/>
          <w:szCs w:val="24"/>
        </w:rPr>
        <w:t>（须提供信用证书或信用查询截图）</w:t>
      </w:r>
    </w:p>
    <w:p>
      <w:pPr>
        <w:pStyle w:val="14"/>
        <w:numPr>
          <w:ilvl w:val="0"/>
          <w:numId w:val="0"/>
        </w:numPr>
        <w:adjustRightInd/>
        <w:ind w:firstLine="480" w:firstLineChars="200"/>
        <w:jc w:val="left"/>
        <w:rPr>
          <w:kern w:val="2"/>
          <w:sz w:val="24"/>
          <w:szCs w:val="24"/>
        </w:rPr>
      </w:pPr>
      <w:r>
        <w:rPr>
          <w:rFonts w:hint="eastAsia"/>
          <w:kern w:val="2"/>
          <w:sz w:val="24"/>
          <w:szCs w:val="24"/>
        </w:rPr>
        <w:t>4.11投标人资格条件中对企业、项目负责人资质（资格）有要求时须提供相关证书复印件，否则无须提供；</w:t>
      </w:r>
    </w:p>
    <w:p>
      <w:pPr>
        <w:pStyle w:val="14"/>
        <w:numPr>
          <w:ilvl w:val="0"/>
          <w:numId w:val="0"/>
        </w:numPr>
        <w:adjustRightInd/>
        <w:ind w:firstLine="480" w:firstLineChars="200"/>
        <w:jc w:val="left"/>
        <w:rPr>
          <w:sz w:val="24"/>
          <w:szCs w:val="24"/>
        </w:rPr>
      </w:pPr>
      <w:r>
        <w:rPr>
          <w:rFonts w:hint="eastAsia"/>
          <w:kern w:val="2"/>
          <w:sz w:val="24"/>
          <w:szCs w:val="24"/>
        </w:rPr>
        <w:t>4.12投标</w:t>
      </w:r>
      <w:r>
        <w:rPr>
          <w:rFonts w:hint="eastAsia"/>
          <w:sz w:val="24"/>
          <w:szCs w:val="24"/>
        </w:rPr>
        <w:t>单位为投标代表缴纳社保证明（提交首次响应文件时间前6个月内任何1月的依法缴纳社保的相关材料复印件）；</w:t>
      </w:r>
    </w:p>
    <w:p>
      <w:pPr>
        <w:pStyle w:val="14"/>
        <w:numPr>
          <w:ilvl w:val="0"/>
          <w:numId w:val="0"/>
        </w:numPr>
        <w:adjustRightInd/>
        <w:ind w:firstLine="480" w:firstLineChars="200"/>
        <w:jc w:val="left"/>
        <w:rPr>
          <w:kern w:val="2"/>
          <w:sz w:val="24"/>
          <w:szCs w:val="24"/>
        </w:rPr>
      </w:pPr>
      <w:r>
        <w:rPr>
          <w:rFonts w:hint="eastAsia"/>
          <w:kern w:val="2"/>
          <w:sz w:val="24"/>
          <w:szCs w:val="24"/>
        </w:rPr>
        <w:t>4.13商务和技术偏离表；</w:t>
      </w:r>
    </w:p>
    <w:p>
      <w:pPr>
        <w:pStyle w:val="14"/>
        <w:numPr>
          <w:ilvl w:val="0"/>
          <w:numId w:val="0"/>
        </w:numPr>
        <w:adjustRightInd/>
        <w:ind w:firstLine="480" w:firstLineChars="200"/>
        <w:jc w:val="left"/>
        <w:rPr>
          <w:kern w:val="2"/>
          <w:sz w:val="24"/>
          <w:szCs w:val="24"/>
        </w:rPr>
      </w:pPr>
      <w:r>
        <w:rPr>
          <w:rFonts w:hint="eastAsia"/>
          <w:kern w:val="2"/>
          <w:sz w:val="24"/>
          <w:szCs w:val="24"/>
        </w:rPr>
        <w:t>4.14服务方案(包括质保期、服务质量承诺，供货期及工期，售后服务等）；</w:t>
      </w:r>
    </w:p>
    <w:p>
      <w:pPr>
        <w:pStyle w:val="14"/>
        <w:numPr>
          <w:ilvl w:val="0"/>
          <w:numId w:val="0"/>
        </w:numPr>
        <w:adjustRightInd/>
        <w:ind w:firstLine="480" w:firstLineChars="200"/>
        <w:jc w:val="left"/>
        <w:rPr>
          <w:kern w:val="2"/>
          <w:sz w:val="24"/>
          <w:szCs w:val="24"/>
        </w:rPr>
      </w:pPr>
      <w:r>
        <w:rPr>
          <w:rFonts w:hint="eastAsia"/>
          <w:kern w:val="2"/>
          <w:sz w:val="24"/>
          <w:szCs w:val="24"/>
        </w:rPr>
        <w:t>4.15投标人业绩一览表及业绩复印件（</w:t>
      </w:r>
      <w:r>
        <w:rPr>
          <w:rFonts w:hint="eastAsia"/>
          <w:b/>
          <w:kern w:val="2"/>
          <w:sz w:val="24"/>
          <w:szCs w:val="24"/>
        </w:rPr>
        <w:t>业绩原件备查</w:t>
      </w:r>
      <w:r>
        <w:rPr>
          <w:rFonts w:hint="eastAsia"/>
          <w:kern w:val="2"/>
          <w:sz w:val="24"/>
          <w:szCs w:val="24"/>
        </w:rPr>
        <w:t>）；</w:t>
      </w:r>
    </w:p>
    <w:p>
      <w:pPr>
        <w:pStyle w:val="14"/>
        <w:numPr>
          <w:ilvl w:val="0"/>
          <w:numId w:val="0"/>
        </w:numPr>
        <w:adjustRightInd/>
        <w:ind w:firstLine="480" w:firstLineChars="200"/>
        <w:jc w:val="left"/>
        <w:rPr>
          <w:kern w:val="2"/>
          <w:sz w:val="24"/>
          <w:szCs w:val="24"/>
        </w:rPr>
      </w:pPr>
      <w:r>
        <w:rPr>
          <w:rFonts w:hint="eastAsia"/>
          <w:kern w:val="2"/>
          <w:sz w:val="24"/>
          <w:szCs w:val="24"/>
        </w:rPr>
        <w:t>4.16提交设备详细配置清单，配套设施要齐全、功能要完善。</w:t>
      </w:r>
    </w:p>
    <w:p>
      <w:pPr>
        <w:pStyle w:val="14"/>
        <w:numPr>
          <w:ilvl w:val="0"/>
          <w:numId w:val="0"/>
        </w:numPr>
        <w:adjustRightInd/>
        <w:ind w:firstLine="480" w:firstLineChars="200"/>
        <w:jc w:val="left"/>
        <w:rPr>
          <w:kern w:val="2"/>
          <w:sz w:val="24"/>
          <w:szCs w:val="24"/>
        </w:rPr>
      </w:pPr>
      <w:r>
        <w:rPr>
          <w:rFonts w:hint="eastAsia"/>
          <w:kern w:val="2"/>
          <w:sz w:val="24"/>
          <w:szCs w:val="24"/>
        </w:rPr>
        <w:t>4.17投标时需提供能够反映所投产品的形状和颜色的彩页说明书。</w:t>
      </w:r>
    </w:p>
    <w:p>
      <w:pPr>
        <w:pStyle w:val="14"/>
        <w:numPr>
          <w:ilvl w:val="0"/>
          <w:numId w:val="0"/>
        </w:numPr>
        <w:adjustRightInd/>
        <w:ind w:firstLine="480" w:firstLineChars="200"/>
        <w:jc w:val="left"/>
        <w:rPr>
          <w:kern w:val="2"/>
          <w:sz w:val="24"/>
          <w:szCs w:val="24"/>
        </w:rPr>
      </w:pPr>
      <w:r>
        <w:rPr>
          <w:rFonts w:hint="eastAsia"/>
          <w:kern w:val="2"/>
          <w:sz w:val="24"/>
          <w:szCs w:val="24"/>
        </w:rPr>
        <w:t>4.18</w:t>
      </w:r>
      <w:r>
        <w:rPr>
          <w:kern w:val="2"/>
          <w:sz w:val="24"/>
          <w:szCs w:val="24"/>
          <w:u w:val="single"/>
          <w:shd w:val="clear" w:color="auto" w:fill="auto"/>
        </w:rPr>
        <w:t>投标文件中必须提供</w:t>
      </w:r>
      <w:r>
        <w:rPr>
          <w:rFonts w:hint="eastAsia"/>
          <w:kern w:val="2"/>
          <w:sz w:val="24"/>
          <w:szCs w:val="24"/>
          <w:u w:val="single"/>
          <w:shd w:val="clear" w:color="auto" w:fill="auto"/>
        </w:rPr>
        <w:t>三证合一的营业执照副本(原件</w:t>
      </w:r>
      <w:r>
        <w:rPr>
          <w:rFonts w:hint="eastAsia"/>
          <w:kern w:val="2"/>
          <w:sz w:val="24"/>
          <w:szCs w:val="24"/>
          <w:u w:val="single"/>
          <w:shd w:val="clear" w:color="auto" w:fill="auto"/>
          <w:lang w:eastAsia="zh-CN"/>
        </w:rPr>
        <w:t>）、</w:t>
      </w:r>
      <w:r>
        <w:rPr>
          <w:kern w:val="2"/>
          <w:sz w:val="24"/>
          <w:szCs w:val="24"/>
          <w:u w:val="single"/>
          <w:shd w:val="clear" w:color="auto" w:fill="auto"/>
        </w:rPr>
        <w:t>投标代表个人身份证原件</w:t>
      </w:r>
      <w:r>
        <w:rPr>
          <w:rFonts w:hint="eastAsia"/>
          <w:kern w:val="2"/>
          <w:sz w:val="24"/>
          <w:szCs w:val="24"/>
          <w:u w:val="single"/>
          <w:shd w:val="clear" w:color="auto" w:fill="auto"/>
        </w:rPr>
        <w:t>，接触水的设备配件（加热管或内胆）提供省级检测机构的检验报告；</w:t>
      </w:r>
      <w:r>
        <w:rPr>
          <w:kern w:val="2"/>
          <w:sz w:val="24"/>
          <w:szCs w:val="24"/>
          <w:u w:val="single"/>
          <w:shd w:val="clear" w:color="auto" w:fill="auto"/>
        </w:rPr>
        <w:t>投标人近三年业绩证明（合同）等。</w:t>
      </w:r>
    </w:p>
    <w:p>
      <w:pPr>
        <w:pStyle w:val="14"/>
        <w:numPr>
          <w:ilvl w:val="0"/>
          <w:numId w:val="0"/>
        </w:numPr>
        <w:adjustRightInd/>
        <w:ind w:firstLine="480" w:firstLineChars="200"/>
        <w:jc w:val="left"/>
        <w:rPr>
          <w:kern w:val="2"/>
          <w:sz w:val="24"/>
          <w:szCs w:val="24"/>
        </w:rPr>
      </w:pPr>
      <w:r>
        <w:rPr>
          <w:rFonts w:hint="eastAsia"/>
          <w:kern w:val="2"/>
          <w:sz w:val="24"/>
          <w:szCs w:val="24"/>
        </w:rPr>
        <w:t>4.19磋商文件中要求提交的和投标人认为需要提供的其它说明和资料。</w:t>
      </w:r>
    </w:p>
    <w:p>
      <w:pPr>
        <w:pStyle w:val="14"/>
        <w:numPr>
          <w:ilvl w:val="0"/>
          <w:numId w:val="0"/>
        </w:numPr>
        <w:ind w:firstLine="472" w:firstLineChars="196"/>
        <w:rPr>
          <w:b/>
          <w:sz w:val="24"/>
          <w:szCs w:val="24"/>
        </w:rPr>
      </w:pPr>
      <w:r>
        <w:rPr>
          <w:rFonts w:hint="eastAsia"/>
          <w:b/>
          <w:sz w:val="24"/>
          <w:szCs w:val="24"/>
        </w:rPr>
        <w:t>5.投标要求</w:t>
      </w:r>
    </w:p>
    <w:p>
      <w:pPr>
        <w:pStyle w:val="14"/>
        <w:numPr>
          <w:ilvl w:val="0"/>
          <w:numId w:val="0"/>
        </w:numPr>
        <w:ind w:firstLine="480" w:firstLineChars="200"/>
        <w:rPr>
          <w:kern w:val="2"/>
          <w:sz w:val="24"/>
          <w:szCs w:val="24"/>
        </w:rPr>
      </w:pPr>
      <w:r>
        <w:rPr>
          <w:rFonts w:hint="eastAsia"/>
          <w:kern w:val="2"/>
          <w:sz w:val="24"/>
          <w:szCs w:val="24"/>
        </w:rPr>
        <w:t>5.1 所有投标均以人民币“元”为计算单位。</w:t>
      </w:r>
    </w:p>
    <w:p>
      <w:pPr>
        <w:pStyle w:val="14"/>
        <w:numPr>
          <w:ilvl w:val="0"/>
          <w:numId w:val="0"/>
        </w:numPr>
        <w:ind w:firstLine="480" w:firstLineChars="200"/>
        <w:rPr>
          <w:kern w:val="2"/>
          <w:sz w:val="24"/>
          <w:szCs w:val="24"/>
        </w:rPr>
      </w:pPr>
      <w:r>
        <w:rPr>
          <w:rFonts w:hint="eastAsia"/>
          <w:kern w:val="2"/>
          <w:sz w:val="24"/>
          <w:szCs w:val="24"/>
        </w:rPr>
        <w:t>5.2投标人要按报价表(统一格式)的内容填写综合单价、总价及其他事项，并由法定代表人或投标人代表签署。</w:t>
      </w:r>
    </w:p>
    <w:p>
      <w:pPr>
        <w:pStyle w:val="14"/>
        <w:numPr>
          <w:ilvl w:val="0"/>
          <w:numId w:val="0"/>
        </w:numPr>
        <w:ind w:firstLine="480" w:firstLineChars="200"/>
        <w:rPr>
          <w:kern w:val="2"/>
          <w:sz w:val="24"/>
          <w:szCs w:val="24"/>
        </w:rPr>
      </w:pPr>
      <w:r>
        <w:rPr>
          <w:rFonts w:hint="eastAsia"/>
          <w:kern w:val="2"/>
          <w:sz w:val="24"/>
          <w:szCs w:val="24"/>
        </w:rPr>
        <w:t>5.3采购人不接受不明确的投标方案和投标。</w:t>
      </w:r>
    </w:p>
    <w:p>
      <w:pPr>
        <w:pStyle w:val="14"/>
        <w:numPr>
          <w:ilvl w:val="0"/>
          <w:numId w:val="0"/>
        </w:numPr>
        <w:ind w:firstLine="480" w:firstLineChars="200"/>
        <w:rPr>
          <w:kern w:val="2"/>
          <w:sz w:val="24"/>
          <w:szCs w:val="24"/>
        </w:rPr>
      </w:pPr>
      <w:r>
        <w:rPr>
          <w:rFonts w:hint="eastAsia"/>
          <w:kern w:val="2"/>
          <w:sz w:val="24"/>
          <w:szCs w:val="24"/>
        </w:rPr>
        <w:t>5.</w:t>
      </w:r>
      <w:r>
        <w:rPr>
          <w:kern w:val="2"/>
          <w:sz w:val="24"/>
          <w:szCs w:val="24"/>
        </w:rPr>
        <w:t>4</w:t>
      </w:r>
      <w:r>
        <w:rPr>
          <w:rFonts w:hint="eastAsia"/>
          <w:kern w:val="2"/>
          <w:sz w:val="24"/>
          <w:szCs w:val="24"/>
        </w:rPr>
        <w:t>以可调整的价格提交的投标将被视为非响应性投标而被拒绝。</w:t>
      </w:r>
    </w:p>
    <w:p>
      <w:pPr>
        <w:pStyle w:val="14"/>
        <w:numPr>
          <w:ilvl w:val="0"/>
          <w:numId w:val="0"/>
        </w:numPr>
        <w:ind w:firstLine="480" w:firstLineChars="200"/>
        <w:rPr>
          <w:kern w:val="2"/>
          <w:sz w:val="24"/>
          <w:szCs w:val="24"/>
        </w:rPr>
      </w:pPr>
      <w:r>
        <w:rPr>
          <w:rFonts w:hint="eastAsia"/>
          <w:kern w:val="2"/>
          <w:sz w:val="24"/>
          <w:szCs w:val="24"/>
        </w:rPr>
        <w:t>5.</w:t>
      </w:r>
      <w:r>
        <w:rPr>
          <w:kern w:val="2"/>
          <w:sz w:val="24"/>
          <w:szCs w:val="24"/>
        </w:rPr>
        <w:t>5</w:t>
      </w:r>
      <w:r>
        <w:rPr>
          <w:rFonts w:hint="eastAsia"/>
          <w:kern w:val="2"/>
          <w:sz w:val="24"/>
          <w:szCs w:val="24"/>
        </w:rPr>
        <w:t>最低投标价不能作为成交的保证。</w:t>
      </w:r>
    </w:p>
    <w:p>
      <w:pPr>
        <w:pStyle w:val="14"/>
        <w:numPr>
          <w:ilvl w:val="0"/>
          <w:numId w:val="0"/>
        </w:numPr>
        <w:ind w:firstLine="354" w:firstLineChars="147"/>
        <w:rPr>
          <w:b/>
          <w:sz w:val="24"/>
          <w:szCs w:val="24"/>
        </w:rPr>
      </w:pPr>
      <w:r>
        <w:rPr>
          <w:rFonts w:hint="eastAsia"/>
          <w:b/>
          <w:sz w:val="24"/>
          <w:szCs w:val="24"/>
        </w:rPr>
        <w:t>6.投标保证金及标书费</w:t>
      </w:r>
    </w:p>
    <w:p>
      <w:pPr>
        <w:pStyle w:val="14"/>
        <w:numPr>
          <w:ilvl w:val="0"/>
          <w:numId w:val="0"/>
        </w:numPr>
        <w:ind w:firstLine="360" w:firstLineChars="150"/>
        <w:rPr>
          <w:kern w:val="2"/>
          <w:sz w:val="24"/>
          <w:szCs w:val="24"/>
        </w:rPr>
      </w:pPr>
      <w:r>
        <w:rPr>
          <w:rFonts w:hint="eastAsia"/>
          <w:kern w:val="2"/>
          <w:sz w:val="24"/>
          <w:szCs w:val="24"/>
        </w:rPr>
        <w:t xml:space="preserve"> 6.1本项目不收取投标保证金。</w:t>
      </w:r>
    </w:p>
    <w:p>
      <w:pPr>
        <w:pStyle w:val="14"/>
        <w:numPr>
          <w:ilvl w:val="0"/>
          <w:numId w:val="0"/>
        </w:numPr>
        <w:ind w:firstLine="480" w:firstLineChars="200"/>
        <w:rPr>
          <w:kern w:val="2"/>
          <w:sz w:val="24"/>
          <w:szCs w:val="24"/>
        </w:rPr>
      </w:pPr>
      <w:r>
        <w:rPr>
          <w:rFonts w:hint="eastAsia"/>
          <w:kern w:val="2"/>
          <w:sz w:val="24"/>
          <w:szCs w:val="24"/>
        </w:rPr>
        <w:t>6</w:t>
      </w:r>
      <w:r>
        <w:rPr>
          <w:kern w:val="2"/>
          <w:sz w:val="24"/>
          <w:szCs w:val="24"/>
        </w:rPr>
        <w:t>.2</w:t>
      </w:r>
      <w:r>
        <w:rPr>
          <w:rFonts w:hint="eastAsia"/>
          <w:kern w:val="2"/>
          <w:sz w:val="24"/>
          <w:szCs w:val="24"/>
        </w:rPr>
        <w:t>标书费金额及缴纳方式见“磋商公告”。</w:t>
      </w:r>
    </w:p>
    <w:p>
      <w:pPr>
        <w:pStyle w:val="14"/>
        <w:numPr>
          <w:ilvl w:val="0"/>
          <w:numId w:val="0"/>
        </w:numPr>
        <w:ind w:firstLine="360" w:firstLineChars="150"/>
        <w:rPr>
          <w:b/>
          <w:sz w:val="24"/>
          <w:szCs w:val="24"/>
        </w:rPr>
      </w:pPr>
      <w:r>
        <w:rPr>
          <w:rFonts w:hint="eastAsia"/>
          <w:kern w:val="2"/>
          <w:sz w:val="24"/>
          <w:szCs w:val="24"/>
        </w:rPr>
        <w:t xml:space="preserve"> </w:t>
      </w:r>
      <w:r>
        <w:rPr>
          <w:rFonts w:hint="eastAsia"/>
          <w:b/>
          <w:sz w:val="24"/>
          <w:szCs w:val="24"/>
        </w:rPr>
        <w:t>7.投标文件的有效期</w:t>
      </w:r>
    </w:p>
    <w:p>
      <w:pPr>
        <w:pStyle w:val="14"/>
        <w:numPr>
          <w:ilvl w:val="0"/>
          <w:numId w:val="0"/>
        </w:numPr>
        <w:ind w:firstLine="240" w:firstLineChars="100"/>
        <w:rPr>
          <w:kern w:val="2"/>
          <w:sz w:val="24"/>
          <w:szCs w:val="24"/>
        </w:rPr>
      </w:pPr>
      <w:r>
        <w:rPr>
          <w:rFonts w:hint="eastAsia"/>
          <w:kern w:val="2"/>
          <w:sz w:val="24"/>
          <w:szCs w:val="24"/>
        </w:rPr>
        <w:t xml:space="preserve">  7.1 自投标日起90日内，投标文件应保持有效。如投标人无特别说明，则视为投标人接受此条款。有效期短于该规定期限的投标，将被拒绝。</w:t>
      </w:r>
    </w:p>
    <w:p>
      <w:pPr>
        <w:pStyle w:val="14"/>
        <w:numPr>
          <w:ilvl w:val="0"/>
          <w:numId w:val="0"/>
        </w:numPr>
        <w:ind w:firstLine="240" w:firstLineChars="100"/>
        <w:rPr>
          <w:sz w:val="24"/>
          <w:szCs w:val="24"/>
        </w:rPr>
      </w:pPr>
      <w:r>
        <w:rPr>
          <w:rFonts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14"/>
        <w:numPr>
          <w:ilvl w:val="0"/>
          <w:numId w:val="0"/>
        </w:numPr>
        <w:ind w:firstLine="234" w:firstLineChars="97"/>
        <w:rPr>
          <w:b/>
          <w:sz w:val="24"/>
          <w:szCs w:val="24"/>
        </w:rPr>
      </w:pPr>
      <w:r>
        <w:rPr>
          <w:rFonts w:hint="eastAsia"/>
          <w:b/>
          <w:sz w:val="24"/>
          <w:szCs w:val="24"/>
        </w:rPr>
        <w:t xml:space="preserve">  8.投标文件的签署及其他规定</w:t>
      </w:r>
    </w:p>
    <w:p>
      <w:pPr>
        <w:pStyle w:val="14"/>
        <w:numPr>
          <w:ilvl w:val="0"/>
          <w:numId w:val="0"/>
        </w:numPr>
        <w:ind w:firstLine="240" w:firstLineChars="100"/>
        <w:rPr>
          <w:sz w:val="24"/>
          <w:szCs w:val="24"/>
        </w:rPr>
      </w:pPr>
      <w:r>
        <w:rPr>
          <w:rFonts w:hint="eastAsia"/>
          <w:sz w:val="24"/>
          <w:szCs w:val="24"/>
        </w:rPr>
        <w:t xml:space="preserve">  8.1 组成投标文件的各项文件均应遵守本条。</w:t>
      </w:r>
    </w:p>
    <w:p>
      <w:pPr>
        <w:pStyle w:val="14"/>
        <w:numPr>
          <w:ilvl w:val="0"/>
          <w:numId w:val="0"/>
        </w:numPr>
        <w:ind w:firstLine="240" w:firstLineChars="100"/>
        <w:rPr>
          <w:sz w:val="24"/>
          <w:szCs w:val="24"/>
        </w:rPr>
      </w:pPr>
      <w:r>
        <w:rPr>
          <w:rFonts w:hint="eastAsia"/>
          <w:sz w:val="24"/>
          <w:szCs w:val="24"/>
        </w:rPr>
        <w:t xml:space="preserve">  8.2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14"/>
        <w:numPr>
          <w:ilvl w:val="0"/>
          <w:numId w:val="0"/>
        </w:numPr>
        <w:ind w:firstLine="240" w:firstLineChars="100"/>
        <w:rPr>
          <w:sz w:val="24"/>
          <w:szCs w:val="24"/>
        </w:rPr>
      </w:pPr>
      <w:r>
        <w:rPr>
          <w:rFonts w:hint="eastAsia"/>
          <w:sz w:val="24"/>
          <w:szCs w:val="24"/>
        </w:rPr>
        <w:t xml:space="preserve">  8.3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14"/>
        <w:numPr>
          <w:ilvl w:val="0"/>
          <w:numId w:val="0"/>
        </w:numPr>
        <w:ind w:firstLine="240" w:firstLineChars="100"/>
        <w:rPr>
          <w:kern w:val="2"/>
          <w:sz w:val="24"/>
          <w:szCs w:val="24"/>
        </w:rPr>
      </w:pPr>
      <w:r>
        <w:rPr>
          <w:rFonts w:hint="eastAsia"/>
          <w:kern w:val="2"/>
          <w:sz w:val="24"/>
          <w:szCs w:val="24"/>
        </w:rPr>
        <w:t xml:space="preserve">  8.4 </w:t>
      </w:r>
      <w:r>
        <w:rPr>
          <w:rFonts w:hint="eastAsia"/>
          <w:b/>
          <w:kern w:val="2"/>
          <w:sz w:val="24"/>
          <w:szCs w:val="24"/>
        </w:rPr>
        <w:t>投标文件一式5份，其中正本1份，副本4份。</w:t>
      </w:r>
    </w:p>
    <w:p>
      <w:pPr>
        <w:pStyle w:val="14"/>
        <w:numPr>
          <w:ilvl w:val="0"/>
          <w:numId w:val="0"/>
        </w:numPr>
        <w:ind w:firstLine="240" w:firstLineChars="100"/>
        <w:rPr>
          <w:sz w:val="24"/>
          <w:szCs w:val="24"/>
        </w:rPr>
      </w:pPr>
      <w:r>
        <w:rPr>
          <w:rFonts w:hint="eastAsia"/>
          <w:sz w:val="24"/>
          <w:szCs w:val="24"/>
        </w:rPr>
        <w:t xml:space="preserve">  8.5 投标文件的正本必须用不褪色的黑色签字笔填写或打印，注明“正本”字样，并由投标人的法定代表人或投标人代表签字。</w:t>
      </w:r>
    </w:p>
    <w:p>
      <w:pPr>
        <w:pStyle w:val="14"/>
        <w:numPr>
          <w:ilvl w:val="0"/>
          <w:numId w:val="0"/>
        </w:numPr>
        <w:ind w:firstLine="240" w:firstLineChars="100"/>
        <w:rPr>
          <w:sz w:val="24"/>
          <w:szCs w:val="24"/>
        </w:rPr>
      </w:pPr>
      <w:r>
        <w:rPr>
          <w:rFonts w:hint="eastAsia"/>
          <w:sz w:val="24"/>
          <w:szCs w:val="24"/>
        </w:rPr>
        <w:t xml:space="preserve">  8.6 投标文件应字迹清楚、内容齐全、不得涂改和增删。如果有修改错漏处，修改处须有投标人公章及法定代表人或投标人代表签字。</w:t>
      </w:r>
    </w:p>
    <w:p>
      <w:pPr>
        <w:pStyle w:val="14"/>
        <w:numPr>
          <w:ilvl w:val="0"/>
          <w:numId w:val="0"/>
        </w:numPr>
        <w:ind w:firstLine="240" w:firstLineChars="100"/>
        <w:rPr>
          <w:sz w:val="24"/>
          <w:szCs w:val="24"/>
        </w:rPr>
      </w:pPr>
      <w:r>
        <w:rPr>
          <w:rFonts w:hint="eastAsia"/>
          <w:sz w:val="24"/>
          <w:szCs w:val="24"/>
        </w:rPr>
        <w:t xml:space="preserve">  8.7因投标文件字迹潦草或表达不清所引起的不利后果由投标人承担。</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三、投标文件的递交</w:t>
      </w:r>
    </w:p>
    <w:p>
      <w:pPr>
        <w:pStyle w:val="14"/>
        <w:numPr>
          <w:ilvl w:val="0"/>
          <w:numId w:val="0"/>
        </w:numPr>
        <w:tabs>
          <w:tab w:val="left" w:pos="480"/>
        </w:tabs>
        <w:ind w:firstLine="482" w:firstLineChars="200"/>
        <w:rPr>
          <w:b/>
          <w:sz w:val="24"/>
          <w:szCs w:val="24"/>
        </w:rPr>
      </w:pPr>
      <w:r>
        <w:rPr>
          <w:rFonts w:hint="eastAsia"/>
          <w:b/>
          <w:sz w:val="24"/>
          <w:szCs w:val="24"/>
        </w:rPr>
        <w:t>1.投标文件的密封及标记</w:t>
      </w:r>
    </w:p>
    <w:p>
      <w:pPr>
        <w:pStyle w:val="14"/>
        <w:numPr>
          <w:ilvl w:val="0"/>
          <w:numId w:val="0"/>
        </w:numPr>
        <w:tabs>
          <w:tab w:val="left" w:pos="0"/>
        </w:tabs>
        <w:ind w:left="420" w:leftChars="200"/>
        <w:rPr>
          <w:sz w:val="24"/>
          <w:szCs w:val="24"/>
        </w:rPr>
      </w:pPr>
      <w:r>
        <w:rPr>
          <w:rFonts w:hint="eastAsia"/>
          <w:sz w:val="24"/>
          <w:szCs w:val="24"/>
        </w:rPr>
        <w:t>1.1投标文件应按以下方法分别装袋密封：</w:t>
      </w:r>
    </w:p>
    <w:p>
      <w:pPr>
        <w:ind w:firstLine="480" w:firstLineChars="200"/>
        <w:rPr>
          <w:rFonts w:ascii="宋体" w:hAnsi="宋体"/>
          <w:sz w:val="24"/>
        </w:rPr>
      </w:pPr>
      <w:r>
        <w:rPr>
          <w:rFonts w:hint="eastAsia" w:ascii="宋体" w:hAnsi="宋体"/>
          <w:sz w:val="24"/>
        </w:rPr>
        <w:t>投标文件密封袋内装投标文件正副本共一式5份（及投标人认为有必要提交的其他资料）。</w:t>
      </w:r>
      <w:r>
        <w:rPr>
          <w:rFonts w:hint="eastAsia" w:ascii="宋体" w:hAnsi="宋体"/>
          <w:b/>
          <w:sz w:val="24"/>
        </w:rPr>
        <w:t>投标文件正副本装于一个密封袋内，不得分开封装。</w:t>
      </w:r>
      <w:r>
        <w:rPr>
          <w:rFonts w:hint="eastAsia" w:ascii="宋体" w:hAnsi="宋体"/>
          <w:sz w:val="24"/>
        </w:rPr>
        <w:t>封口处应有投标人公章。封皮上写明项目编号、项目名称、投标人全称、地址，并注明“投标时启封”字样。</w:t>
      </w:r>
    </w:p>
    <w:p>
      <w:pPr>
        <w:ind w:firstLine="480" w:firstLineChars="200"/>
        <w:rPr>
          <w:rFonts w:ascii="宋体" w:hAnsi="宋体"/>
          <w:sz w:val="24"/>
        </w:rPr>
      </w:pPr>
      <w:r>
        <w:rPr>
          <w:rFonts w:hint="eastAsia" w:ascii="宋体" w:hAnsi="宋体"/>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14"/>
        <w:numPr>
          <w:ilvl w:val="0"/>
          <w:numId w:val="0"/>
        </w:numPr>
        <w:tabs>
          <w:tab w:val="left" w:pos="480"/>
        </w:tabs>
        <w:ind w:firstLine="482" w:firstLineChars="200"/>
        <w:rPr>
          <w:b/>
          <w:sz w:val="24"/>
          <w:szCs w:val="24"/>
        </w:rPr>
      </w:pPr>
      <w:r>
        <w:rPr>
          <w:rFonts w:hint="eastAsia"/>
          <w:b/>
          <w:sz w:val="24"/>
          <w:szCs w:val="24"/>
        </w:rPr>
        <w:t>2.投标截止时间</w:t>
      </w:r>
    </w:p>
    <w:p>
      <w:pPr>
        <w:ind w:firstLine="480" w:firstLineChars="200"/>
        <w:rPr>
          <w:rFonts w:ascii="宋体" w:hAnsi="宋体"/>
          <w:sz w:val="24"/>
        </w:rPr>
      </w:pPr>
      <w:r>
        <w:rPr>
          <w:rFonts w:hint="eastAsia" w:ascii="宋体" w:hAnsi="宋体"/>
          <w:sz w:val="24"/>
        </w:rPr>
        <w:t>2.1投标文件须按照磋商文件或磋商公告规定的时间、地点送达。</w:t>
      </w:r>
    </w:p>
    <w:p>
      <w:pPr>
        <w:ind w:firstLine="480" w:firstLineChars="200"/>
        <w:rPr>
          <w:rFonts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rPr>
          <w:rFonts w:ascii="宋体" w:hAnsi="宋体"/>
          <w:sz w:val="24"/>
        </w:rPr>
      </w:pPr>
      <w:r>
        <w:rPr>
          <w:rFonts w:hint="eastAsia" w:ascii="宋体" w:hAnsi="宋体"/>
          <w:sz w:val="24"/>
        </w:rPr>
        <w:t>2.3拒绝接收在提交投标文件截止时间以后送达的投标文件。</w:t>
      </w:r>
    </w:p>
    <w:p>
      <w:pPr>
        <w:pStyle w:val="14"/>
        <w:numPr>
          <w:ilvl w:val="0"/>
          <w:numId w:val="0"/>
        </w:numPr>
        <w:tabs>
          <w:tab w:val="left" w:pos="480"/>
        </w:tabs>
        <w:ind w:firstLine="482" w:firstLineChars="200"/>
        <w:rPr>
          <w:b/>
          <w:sz w:val="24"/>
          <w:szCs w:val="24"/>
        </w:rPr>
      </w:pPr>
      <w:r>
        <w:rPr>
          <w:rFonts w:hint="eastAsia"/>
          <w:b/>
          <w:sz w:val="24"/>
          <w:szCs w:val="24"/>
        </w:rPr>
        <w:t>3.投标文件的修改和撤回</w:t>
      </w:r>
    </w:p>
    <w:p>
      <w:pPr>
        <w:ind w:firstLine="480" w:firstLineChars="200"/>
        <w:rPr>
          <w:rFonts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rPr>
          <w:rFonts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四、开标评标</w:t>
      </w:r>
    </w:p>
    <w:p>
      <w:pPr>
        <w:pStyle w:val="14"/>
        <w:numPr>
          <w:ilvl w:val="0"/>
          <w:numId w:val="0"/>
        </w:numPr>
        <w:ind w:left="420" w:leftChars="200"/>
        <w:rPr>
          <w:b/>
          <w:sz w:val="24"/>
          <w:szCs w:val="24"/>
        </w:rPr>
      </w:pPr>
      <w:r>
        <w:rPr>
          <w:rFonts w:hint="eastAsia"/>
          <w:b/>
          <w:sz w:val="24"/>
          <w:szCs w:val="24"/>
        </w:rPr>
        <w:t>1.评标原则</w:t>
      </w:r>
    </w:p>
    <w:p>
      <w:pPr>
        <w:ind w:firstLine="480" w:firstLineChars="200"/>
        <w:rPr>
          <w:rFonts w:ascii="宋体" w:hAnsi="宋体"/>
          <w:sz w:val="24"/>
        </w:rPr>
      </w:pPr>
      <w:r>
        <w:rPr>
          <w:rFonts w:hint="eastAsia" w:ascii="宋体" w:hAnsi="宋体"/>
          <w:sz w:val="24"/>
        </w:rPr>
        <w:t>1.1投标人资格与资质条件是否符合磋商文件的要求；</w:t>
      </w:r>
    </w:p>
    <w:p>
      <w:pPr>
        <w:ind w:firstLine="480" w:firstLineChars="200"/>
        <w:rPr>
          <w:rFonts w:ascii="宋体" w:hAnsi="宋体"/>
          <w:sz w:val="24"/>
        </w:rPr>
      </w:pPr>
      <w:r>
        <w:rPr>
          <w:rFonts w:hint="eastAsia" w:ascii="宋体" w:hAnsi="宋体"/>
          <w:sz w:val="24"/>
        </w:rPr>
        <w:t>1.2投标人在投标文件中提交的商务和技术文件是否响应本磋商文件的要求；</w:t>
      </w:r>
    </w:p>
    <w:p>
      <w:pPr>
        <w:ind w:firstLine="480" w:firstLineChars="200"/>
        <w:rPr>
          <w:rFonts w:ascii="宋体" w:hAnsi="宋体"/>
          <w:sz w:val="24"/>
        </w:rPr>
      </w:pPr>
      <w:r>
        <w:rPr>
          <w:rFonts w:hint="eastAsia" w:ascii="宋体" w:hAnsi="宋体"/>
          <w:sz w:val="24"/>
        </w:rPr>
        <w:t>1.3投标人的技术文件是否合理可行；</w:t>
      </w:r>
    </w:p>
    <w:p>
      <w:pPr>
        <w:ind w:firstLine="480" w:firstLineChars="200"/>
        <w:rPr>
          <w:rFonts w:ascii="宋体" w:hAnsi="宋体"/>
          <w:sz w:val="24"/>
        </w:rPr>
      </w:pPr>
      <w:r>
        <w:rPr>
          <w:rFonts w:hint="eastAsia" w:ascii="宋体" w:hAnsi="宋体"/>
          <w:sz w:val="24"/>
        </w:rPr>
        <w:t>1.4投标人是否具备良好的经营状况和履行本项目的能力。</w:t>
      </w:r>
    </w:p>
    <w:p>
      <w:pPr>
        <w:pStyle w:val="14"/>
        <w:numPr>
          <w:ilvl w:val="0"/>
          <w:numId w:val="0"/>
        </w:numPr>
        <w:ind w:left="420" w:leftChars="200"/>
        <w:rPr>
          <w:b/>
          <w:sz w:val="24"/>
          <w:szCs w:val="24"/>
        </w:rPr>
      </w:pPr>
      <w:r>
        <w:rPr>
          <w:rFonts w:hint="eastAsia"/>
          <w:b/>
          <w:sz w:val="24"/>
          <w:szCs w:val="24"/>
        </w:rPr>
        <w:t>2.开标</w:t>
      </w:r>
    </w:p>
    <w:p>
      <w:pPr>
        <w:pStyle w:val="14"/>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14"/>
        <w:numPr>
          <w:ilvl w:val="0"/>
          <w:numId w:val="0"/>
        </w:numPr>
        <w:tabs>
          <w:tab w:val="left" w:pos="420"/>
        </w:tabs>
        <w:ind w:left="420" w:leftChars="200"/>
        <w:rPr>
          <w:b/>
          <w:sz w:val="24"/>
          <w:szCs w:val="24"/>
        </w:rPr>
      </w:pPr>
      <w:r>
        <w:rPr>
          <w:rFonts w:hint="eastAsia"/>
          <w:b/>
          <w:sz w:val="24"/>
          <w:szCs w:val="24"/>
        </w:rPr>
        <w:t>4.评标</w:t>
      </w:r>
    </w:p>
    <w:p>
      <w:pPr>
        <w:ind w:firstLine="480" w:firstLineChars="200"/>
        <w:jc w:val="left"/>
        <w:rPr>
          <w:rFonts w:ascii="宋体" w:hAnsi="宋体"/>
          <w:color w:val="000000"/>
          <w:sz w:val="24"/>
        </w:rPr>
      </w:pPr>
      <w:r>
        <w:rPr>
          <w:rFonts w:hint="eastAsia" w:ascii="宋体" w:hAnsi="宋体"/>
          <w:color w:val="000000"/>
          <w:sz w:val="24"/>
        </w:rPr>
        <w:t>在学院监督部门参与下，由我院集中采购中心办负责组建的评标小组本着公平、公正的原则，采用综合评分法评标。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五、授予合同</w:t>
      </w:r>
    </w:p>
    <w:p>
      <w:pPr>
        <w:ind w:firstLine="482" w:firstLineChars="200"/>
        <w:rPr>
          <w:rFonts w:ascii="宋体" w:hAnsi="宋体"/>
          <w:sz w:val="24"/>
        </w:rPr>
      </w:pPr>
      <w:r>
        <w:rPr>
          <w:rFonts w:hint="eastAsia" w:ascii="宋体" w:hAnsi="宋体"/>
          <w:b/>
          <w:sz w:val="24"/>
        </w:rPr>
        <w:t>1.授予合同的顺序</w:t>
      </w:r>
    </w:p>
    <w:p>
      <w:pPr>
        <w:ind w:firstLine="480" w:firstLineChars="200"/>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14"/>
        <w:numPr>
          <w:ilvl w:val="0"/>
          <w:numId w:val="0"/>
        </w:numPr>
        <w:ind w:left="420" w:leftChars="200"/>
        <w:rPr>
          <w:b/>
          <w:sz w:val="24"/>
          <w:szCs w:val="24"/>
        </w:rPr>
      </w:pPr>
      <w:r>
        <w:rPr>
          <w:rFonts w:hint="eastAsia"/>
          <w:b/>
          <w:sz w:val="24"/>
          <w:szCs w:val="24"/>
        </w:rPr>
        <w:t>2.采购人拒绝投标的权利</w:t>
      </w:r>
    </w:p>
    <w:p>
      <w:pPr>
        <w:pStyle w:val="14"/>
        <w:numPr>
          <w:ilvl w:val="0"/>
          <w:numId w:val="0"/>
        </w:numPr>
        <w:ind w:left="420" w:leftChars="200"/>
        <w:rPr>
          <w:sz w:val="24"/>
          <w:szCs w:val="24"/>
        </w:rPr>
      </w:pPr>
      <w:r>
        <w:rPr>
          <w:rFonts w:hint="eastAsia"/>
          <w:sz w:val="24"/>
          <w:szCs w:val="24"/>
        </w:rPr>
        <w:t>出现下列情况之一时，采购人有权拒绝所有投标，并将理由通知所有投标人：</w:t>
      </w:r>
    </w:p>
    <w:p>
      <w:pPr>
        <w:ind w:firstLine="480" w:firstLineChars="200"/>
        <w:rPr>
          <w:rFonts w:ascii="宋体" w:hAnsi="宋体"/>
          <w:sz w:val="24"/>
        </w:rPr>
      </w:pPr>
      <w:r>
        <w:rPr>
          <w:rFonts w:hint="eastAsia" w:ascii="宋体" w:hAnsi="宋体"/>
          <w:sz w:val="24"/>
        </w:rPr>
        <w:t>2.1出现影响采购公正的违法、违规行为的；</w:t>
      </w:r>
    </w:p>
    <w:p>
      <w:pPr>
        <w:ind w:firstLine="480" w:firstLineChars="200"/>
        <w:rPr>
          <w:rFonts w:ascii="宋体" w:hAnsi="宋体"/>
          <w:sz w:val="24"/>
        </w:rPr>
      </w:pPr>
      <w:r>
        <w:rPr>
          <w:rFonts w:hint="eastAsia" w:ascii="宋体" w:hAnsi="宋体"/>
          <w:sz w:val="24"/>
        </w:rPr>
        <w:t>2.2投标人的投标均超过了采购预算或最高限价，采购人不能支付的；</w:t>
      </w:r>
    </w:p>
    <w:p>
      <w:pPr>
        <w:ind w:firstLine="480" w:firstLineChars="200"/>
        <w:rPr>
          <w:rFonts w:ascii="宋体" w:hAnsi="宋体"/>
          <w:sz w:val="24"/>
        </w:rPr>
      </w:pPr>
      <w:r>
        <w:rPr>
          <w:rFonts w:hint="eastAsia" w:ascii="宋体" w:hAnsi="宋体"/>
          <w:sz w:val="24"/>
        </w:rPr>
        <w:t>2.3因重大变故，采购任务取消的。</w:t>
      </w:r>
    </w:p>
    <w:p>
      <w:pPr>
        <w:pStyle w:val="14"/>
        <w:numPr>
          <w:ilvl w:val="0"/>
          <w:numId w:val="0"/>
        </w:numPr>
        <w:ind w:left="420" w:leftChars="200"/>
        <w:rPr>
          <w:b/>
          <w:sz w:val="24"/>
          <w:szCs w:val="24"/>
        </w:rPr>
      </w:pPr>
      <w:r>
        <w:rPr>
          <w:rFonts w:hint="eastAsia"/>
          <w:b/>
          <w:sz w:val="24"/>
          <w:szCs w:val="24"/>
        </w:rPr>
        <w:t>3.成交通知</w:t>
      </w:r>
    </w:p>
    <w:p>
      <w:pPr>
        <w:ind w:firstLine="480" w:firstLineChars="200"/>
        <w:jc w:val="left"/>
        <w:rPr>
          <w:rFonts w:ascii="宋体" w:hAnsi="宋体"/>
          <w:sz w:val="24"/>
        </w:rPr>
      </w:pPr>
      <w:r>
        <w:rPr>
          <w:rFonts w:hint="eastAsia" w:ascii="宋体" w:hAnsi="宋体"/>
          <w:sz w:val="24"/>
        </w:rPr>
        <w:t>3.1采购人在江苏师范大学科文学院网站（http://kwxy.jsnu.edu.cn/）发布成交信息。采购人对未成交的投标人不做未成交原因的解释。</w:t>
      </w:r>
    </w:p>
    <w:p>
      <w:pPr>
        <w:ind w:firstLine="480" w:firstLineChars="200"/>
        <w:rPr>
          <w:rFonts w:ascii="宋体" w:hAnsi="宋体"/>
          <w:sz w:val="24"/>
        </w:rPr>
      </w:pPr>
      <w:r>
        <w:rPr>
          <w:rFonts w:hint="eastAsia" w:ascii="宋体" w:hAnsi="宋体"/>
          <w:sz w:val="24"/>
        </w:rPr>
        <w:t>3.2成交结果公告结束后，成交人需到集中采购中心领取成交通知书。</w:t>
      </w:r>
    </w:p>
    <w:p>
      <w:pPr>
        <w:ind w:firstLine="480" w:firstLineChars="200"/>
        <w:rPr>
          <w:rFonts w:ascii="宋体" w:hAnsi="宋体"/>
          <w:sz w:val="24"/>
        </w:rPr>
      </w:pPr>
      <w:r>
        <w:rPr>
          <w:rFonts w:hint="eastAsia" w:ascii="宋体" w:hAnsi="宋体"/>
          <w:sz w:val="24"/>
        </w:rPr>
        <w:t>3.3成交通知书是合同的组成部分。</w:t>
      </w:r>
    </w:p>
    <w:p>
      <w:pPr>
        <w:pStyle w:val="14"/>
        <w:numPr>
          <w:ilvl w:val="0"/>
          <w:numId w:val="0"/>
        </w:numPr>
        <w:ind w:left="420" w:leftChars="200"/>
        <w:rPr>
          <w:b/>
          <w:sz w:val="24"/>
          <w:szCs w:val="24"/>
        </w:rPr>
      </w:pPr>
      <w:r>
        <w:rPr>
          <w:rFonts w:hint="eastAsia"/>
          <w:b/>
          <w:sz w:val="24"/>
          <w:szCs w:val="24"/>
        </w:rPr>
        <w:t>4.签订合同</w:t>
      </w:r>
    </w:p>
    <w:p>
      <w:pPr>
        <w:ind w:firstLine="480" w:firstLineChars="200"/>
        <w:rPr>
          <w:rFonts w:ascii="宋体" w:hAnsi="宋体"/>
          <w:sz w:val="24"/>
        </w:rPr>
      </w:pPr>
      <w:r>
        <w:rPr>
          <w:rFonts w:hint="eastAsia" w:ascii="宋体" w:hAnsi="宋体"/>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ascii="宋体" w:hAnsi="宋体"/>
          <w:sz w:val="24"/>
        </w:rPr>
      </w:pPr>
      <w:r>
        <w:rPr>
          <w:rFonts w:hint="eastAsia" w:ascii="宋体" w:hAnsi="宋体"/>
          <w:sz w:val="24"/>
        </w:rPr>
        <w:t>4.2成交人应按照磋商文件、投标文件及评审过程中有关的澄清说明或补正文件的内容与采购人签订合同。</w:t>
      </w:r>
    </w:p>
    <w:p>
      <w:pPr>
        <w:ind w:firstLine="480" w:firstLineChars="200"/>
        <w:rPr>
          <w:rFonts w:ascii="宋体" w:hAnsi="宋体"/>
          <w:sz w:val="24"/>
        </w:rPr>
      </w:pPr>
      <w:r>
        <w:rPr>
          <w:rFonts w:hint="eastAsia" w:ascii="宋体" w:hAnsi="宋体"/>
          <w:sz w:val="24"/>
        </w:rPr>
        <w:t>4.3投标人一旦成交，签订合同后不得分包或转包，否则将被视为成交后撤回投标处理。</w:t>
      </w:r>
    </w:p>
    <w:p>
      <w:pPr>
        <w:ind w:firstLine="480" w:firstLineChars="200"/>
        <w:rPr>
          <w:rFonts w:ascii="宋体" w:hAnsi="宋体"/>
          <w:sz w:val="24"/>
        </w:rPr>
      </w:pPr>
      <w:r>
        <w:rPr>
          <w:rFonts w:hint="eastAsia" w:ascii="宋体" w:hAnsi="宋体"/>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成交后无正当理由拒不与采购人签订采购合同或不按约定签订或履行合同，采购人将其失信行为列入不良记录并报省财政厅备案，且3年内禁止在我院参与招投标活动。</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六、询问和质疑</w:t>
      </w:r>
    </w:p>
    <w:p>
      <w:pPr>
        <w:pStyle w:val="14"/>
        <w:numPr>
          <w:ilvl w:val="0"/>
          <w:numId w:val="0"/>
        </w:numPr>
        <w:ind w:left="420" w:leftChars="200"/>
        <w:rPr>
          <w:b/>
          <w:sz w:val="24"/>
          <w:szCs w:val="24"/>
        </w:rPr>
      </w:pPr>
      <w:r>
        <w:rPr>
          <w:rFonts w:hint="eastAsia"/>
          <w:b/>
          <w:sz w:val="24"/>
          <w:szCs w:val="24"/>
        </w:rPr>
        <w:t>1.投标人有权就采购程序或签订合同的事宜提出质疑</w:t>
      </w:r>
    </w:p>
    <w:p>
      <w:pPr>
        <w:ind w:firstLine="480" w:firstLineChars="200"/>
        <w:rPr>
          <w:rFonts w:ascii="宋体" w:hAnsi="宋体"/>
          <w:sz w:val="24"/>
        </w:rPr>
      </w:pPr>
      <w:r>
        <w:rPr>
          <w:rFonts w:hint="eastAsia" w:ascii="宋体" w:hAnsi="宋体"/>
          <w:sz w:val="24"/>
        </w:rPr>
        <w:t>1.1投标人对采购事项有疑问的，可以向采购人提出询问。</w:t>
      </w:r>
    </w:p>
    <w:p>
      <w:pPr>
        <w:ind w:firstLine="480" w:firstLineChars="200"/>
        <w:rPr>
          <w:rFonts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ascii="宋体" w:hAnsi="宋体"/>
          <w:sz w:val="24"/>
        </w:rPr>
      </w:pPr>
      <w:r>
        <w:rPr>
          <w:rFonts w:hint="eastAsia" w:ascii="宋体" w:hAnsi="宋体"/>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1.4质疑投标人对采购人或对采购人的答复不满意，或采购人未在规定的时间内做出答复的，可以在答复期满后15个工作日内向江苏师范大学科文学院有关监督部门投诉。</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七、保密和披露</w:t>
      </w:r>
    </w:p>
    <w:p>
      <w:pPr>
        <w:ind w:firstLine="480" w:firstLineChars="200"/>
        <w:rPr>
          <w:rFonts w:ascii="宋体" w:hAnsi="宋体"/>
          <w:sz w:val="24"/>
        </w:rPr>
      </w:pPr>
      <w:r>
        <w:rPr>
          <w:rFonts w:hint="eastAsia" w:ascii="宋体" w:hAnsi="宋体"/>
          <w:sz w:val="24"/>
        </w:rPr>
        <w:t>1.保密和披露</w:t>
      </w:r>
    </w:p>
    <w:p>
      <w:pPr>
        <w:ind w:firstLine="480" w:firstLineChars="200"/>
        <w:rPr>
          <w:rFonts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八、无效标书的判定</w:t>
      </w:r>
    </w:p>
    <w:p>
      <w:pPr>
        <w:ind w:firstLine="480" w:firstLineChars="200"/>
        <w:rPr>
          <w:rFonts w:ascii="宋体" w:hAnsi="宋体"/>
          <w:sz w:val="24"/>
        </w:rPr>
      </w:pPr>
      <w:r>
        <w:rPr>
          <w:rFonts w:hint="eastAsia" w:ascii="宋体" w:hAnsi="宋体"/>
          <w:sz w:val="24"/>
        </w:rPr>
        <w:t>投标文件有下列情况之一的，应作为无效投标文件，不再参加评标：</w:t>
      </w:r>
    </w:p>
    <w:p>
      <w:pPr>
        <w:ind w:firstLine="480" w:firstLineChars="200"/>
        <w:rPr>
          <w:rFonts w:ascii="宋体" w:hAnsi="宋体"/>
          <w:sz w:val="24"/>
        </w:rPr>
      </w:pPr>
      <w:r>
        <w:rPr>
          <w:rFonts w:hint="eastAsia" w:ascii="宋体" w:hAnsi="宋体"/>
          <w:sz w:val="24"/>
        </w:rPr>
        <w:t>1.投标文件中的投标函未加盖投标人的公章的，或者企业法定代表人委托代理人没有合法、有效的委托书（原件）或委托书无委托代理人签字或印章的。</w:t>
      </w:r>
    </w:p>
    <w:p>
      <w:pPr>
        <w:ind w:firstLine="480" w:firstLineChars="200"/>
        <w:rPr>
          <w:rFonts w:ascii="宋体" w:hAnsi="宋体"/>
          <w:sz w:val="24"/>
        </w:rPr>
      </w:pPr>
      <w:r>
        <w:rPr>
          <w:rFonts w:hint="eastAsia" w:ascii="宋体" w:hAnsi="宋体"/>
          <w:sz w:val="24"/>
        </w:rPr>
        <w:t>2.未按采购文件要求要求缴纳相关费用的。</w:t>
      </w:r>
    </w:p>
    <w:p>
      <w:pPr>
        <w:ind w:firstLine="480" w:firstLineChars="200"/>
        <w:rPr>
          <w:rFonts w:ascii="宋体" w:hAnsi="宋体"/>
          <w:sz w:val="24"/>
        </w:rPr>
      </w:pPr>
      <w:r>
        <w:rPr>
          <w:rFonts w:hint="eastAsia" w:ascii="宋体" w:hAnsi="宋体"/>
          <w:sz w:val="24"/>
        </w:rPr>
        <w:t>3.未按采购文件要求编制，内容不全或关键字模糊、无法辨认的。</w:t>
      </w:r>
    </w:p>
    <w:p>
      <w:pPr>
        <w:ind w:firstLine="480" w:firstLineChars="200"/>
        <w:rPr>
          <w:rFonts w:ascii="宋体" w:hAnsi="宋体"/>
          <w:sz w:val="24"/>
        </w:rPr>
      </w:pPr>
      <w:r>
        <w:rPr>
          <w:rFonts w:hint="eastAsia" w:ascii="宋体" w:hAnsi="宋体"/>
          <w:sz w:val="24"/>
        </w:rPr>
        <w:t>4.投标人名称或组织机构等与原件不一致的。</w:t>
      </w:r>
    </w:p>
    <w:p>
      <w:pPr>
        <w:ind w:firstLine="480" w:firstLineChars="200"/>
        <w:rPr>
          <w:rFonts w:ascii="宋体" w:hAnsi="宋体"/>
          <w:sz w:val="24"/>
        </w:rPr>
      </w:pPr>
      <w:r>
        <w:rPr>
          <w:rFonts w:hint="eastAsia" w:ascii="宋体" w:hAnsi="宋体"/>
          <w:sz w:val="24"/>
        </w:rPr>
        <w:t>5.投标人资格条件不符合国家有关规定或采购文件要求的。</w:t>
      </w:r>
    </w:p>
    <w:p>
      <w:pPr>
        <w:ind w:firstLine="480" w:firstLineChars="200"/>
        <w:rPr>
          <w:rFonts w:ascii="宋体" w:hAnsi="宋体"/>
          <w:sz w:val="24"/>
        </w:rPr>
      </w:pPr>
      <w:r>
        <w:rPr>
          <w:rFonts w:hint="eastAsia" w:ascii="宋体" w:hAnsi="宋体"/>
          <w:sz w:val="24"/>
        </w:rPr>
        <w:t>6.投标文件载明的项目完成期限超过采购文件规定的期限。</w:t>
      </w:r>
    </w:p>
    <w:p>
      <w:pPr>
        <w:ind w:firstLine="480" w:firstLineChars="200"/>
        <w:rPr>
          <w:rFonts w:ascii="宋体" w:hAnsi="宋体"/>
          <w:sz w:val="24"/>
        </w:rPr>
      </w:pPr>
      <w:r>
        <w:rPr>
          <w:rFonts w:hint="eastAsia" w:ascii="宋体" w:hAnsi="宋体"/>
          <w:sz w:val="24"/>
        </w:rPr>
        <w:t>7.明显不符合技术规范、技术标准的要求。</w:t>
      </w:r>
    </w:p>
    <w:p>
      <w:pPr>
        <w:ind w:firstLine="480" w:firstLineChars="200"/>
        <w:rPr>
          <w:rFonts w:ascii="宋体" w:hAnsi="宋体"/>
          <w:sz w:val="24"/>
        </w:rPr>
      </w:pPr>
      <w:r>
        <w:rPr>
          <w:rFonts w:hint="eastAsia" w:ascii="宋体" w:hAnsi="宋体"/>
          <w:sz w:val="24"/>
        </w:rPr>
        <w:t>8.投标报价超过采购文件规定的采购控制价的。</w:t>
      </w:r>
    </w:p>
    <w:p>
      <w:pPr>
        <w:ind w:firstLine="480" w:firstLineChars="200"/>
        <w:rPr>
          <w:rFonts w:ascii="宋体" w:hAnsi="宋体"/>
          <w:sz w:val="24"/>
        </w:rPr>
      </w:pPr>
      <w:r>
        <w:rPr>
          <w:rFonts w:hint="eastAsia" w:ascii="宋体" w:hAnsi="宋体"/>
          <w:sz w:val="24"/>
        </w:rPr>
        <w:t>9.不同投标人的投标文件出现了评标小组认为不应当雷同的情况。</w:t>
      </w:r>
    </w:p>
    <w:p>
      <w:pPr>
        <w:ind w:firstLine="480" w:firstLineChars="200"/>
        <w:rPr>
          <w:rFonts w:ascii="宋体" w:hAnsi="宋体"/>
          <w:sz w:val="24"/>
        </w:rPr>
      </w:pPr>
      <w:r>
        <w:rPr>
          <w:rFonts w:hint="eastAsia" w:ascii="宋体" w:hAnsi="宋体"/>
          <w:sz w:val="24"/>
        </w:rPr>
        <w:t>10.投标文件提出了不能满足采购文件要求或采购人不能接受的支付办法。</w:t>
      </w:r>
    </w:p>
    <w:p>
      <w:pPr>
        <w:ind w:firstLine="480" w:firstLineChars="200"/>
        <w:rPr>
          <w:rFonts w:ascii="宋体" w:hAnsi="宋体"/>
          <w:sz w:val="24"/>
        </w:rPr>
      </w:pPr>
      <w:r>
        <w:rPr>
          <w:rFonts w:hint="eastAsia" w:ascii="宋体" w:hAnsi="宋体"/>
          <w:sz w:val="24"/>
        </w:rPr>
        <w:t>11.串通投标、以行贿手段谋取中标或者以其他弄虚作假方式投标的。</w:t>
      </w:r>
    </w:p>
    <w:p>
      <w:pPr>
        <w:ind w:left="480"/>
        <w:rPr>
          <w:rFonts w:ascii="宋体" w:hAnsi="宋体"/>
          <w:sz w:val="24"/>
        </w:rPr>
      </w:pPr>
      <w:r>
        <w:rPr>
          <w:rFonts w:hint="eastAsia" w:ascii="宋体" w:hAnsi="宋体"/>
          <w:sz w:val="24"/>
        </w:rPr>
        <w:t>12.经评标小组认定投标人的投标报价低于成本价的。</w:t>
      </w:r>
    </w:p>
    <w:p>
      <w:pPr>
        <w:ind w:left="480"/>
        <w:jc w:val="center"/>
        <w:rPr>
          <w:b/>
          <w:bCs/>
          <w:sz w:val="32"/>
          <w:szCs w:val="32"/>
        </w:rPr>
      </w:pPr>
      <w:r>
        <w:rPr>
          <w:rFonts w:ascii="宋体" w:hAnsi="宋体"/>
          <w:sz w:val="24"/>
          <w:u w:val="single"/>
        </w:rPr>
        <w:br w:type="page"/>
      </w:r>
      <w:r>
        <w:rPr>
          <w:rFonts w:hint="eastAsia"/>
          <w:b/>
          <w:bCs/>
          <w:sz w:val="32"/>
          <w:szCs w:val="32"/>
        </w:rPr>
        <w:t>第二章  项目概况及要求</w:t>
      </w:r>
    </w:p>
    <w:p>
      <w:pPr>
        <w:pStyle w:val="14"/>
        <w:numPr>
          <w:ilvl w:val="0"/>
          <w:numId w:val="0"/>
        </w:numPr>
        <w:tabs>
          <w:tab w:val="left" w:pos="0"/>
        </w:tabs>
        <w:spacing w:line="340" w:lineRule="exact"/>
        <w:ind w:firstLine="482" w:firstLineChars="200"/>
        <w:rPr>
          <w:rFonts w:cs="华文楷体"/>
          <w:b/>
          <w:color w:val="000000"/>
          <w:sz w:val="24"/>
          <w:szCs w:val="24"/>
        </w:rPr>
      </w:pPr>
      <w:r>
        <w:rPr>
          <w:rFonts w:hint="eastAsia" w:cs="华文楷体"/>
          <w:b/>
          <w:color w:val="000000"/>
          <w:sz w:val="24"/>
          <w:szCs w:val="24"/>
        </w:rPr>
        <w:t>本项目为科文学院学生宿舍开水器采购与安装项目，拟在8个组团96间洗衣间，每个洗衣间安装1套，共计96套，包含设备运输、培训、安装、调试、税金、运行及维修保养服务等。</w:t>
      </w:r>
    </w:p>
    <w:p>
      <w:pPr>
        <w:pStyle w:val="14"/>
        <w:numPr>
          <w:ilvl w:val="0"/>
          <w:numId w:val="0"/>
        </w:numPr>
        <w:tabs>
          <w:tab w:val="left" w:pos="0"/>
        </w:tabs>
        <w:spacing w:line="340" w:lineRule="exact"/>
        <w:ind w:left="709" w:hanging="709"/>
        <w:rPr>
          <w:rFonts w:cs="华文楷体"/>
          <w:b/>
          <w:color w:val="000000"/>
          <w:sz w:val="24"/>
          <w:szCs w:val="24"/>
        </w:rPr>
      </w:pPr>
      <w:r>
        <w:rPr>
          <w:rFonts w:hint="eastAsia" w:cs="华文楷体"/>
          <w:b/>
          <w:color w:val="000000"/>
          <w:sz w:val="24"/>
          <w:szCs w:val="24"/>
        </w:rPr>
        <w:t>一、技术要求：</w:t>
      </w:r>
    </w:p>
    <w:tbl>
      <w:tblPr>
        <w:tblStyle w:val="10"/>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7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220" w:lineRule="exact"/>
              <w:jc w:val="center"/>
              <w:rPr>
                <w:rFonts w:ascii="仿宋" w:hAnsi="仿宋" w:eastAsia="仿宋" w:cs="宋体"/>
              </w:rPr>
            </w:pPr>
            <w:r>
              <w:rPr>
                <w:rFonts w:hint="eastAsia" w:ascii="仿宋" w:hAnsi="仿宋" w:eastAsia="仿宋" w:cs="宋体"/>
              </w:rPr>
              <w:t>设备名称</w:t>
            </w:r>
          </w:p>
        </w:tc>
        <w:tc>
          <w:tcPr>
            <w:tcW w:w="7057" w:type="dxa"/>
            <w:tcBorders>
              <w:top w:val="single" w:color="auto" w:sz="4" w:space="0"/>
              <w:left w:val="nil"/>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步进式开水器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数量</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jc w:val="center"/>
              <w:rPr>
                <w:rFonts w:ascii="仿宋" w:hAnsi="仿宋" w:eastAsia="仿宋" w:cs="宋体"/>
                <w:sz w:val="22"/>
                <w:szCs w:val="22"/>
              </w:rPr>
            </w:pPr>
            <w:r>
              <w:rPr>
                <w:rFonts w:hint="eastAsia" w:ascii="仿宋" w:hAnsi="仿宋" w:eastAsia="仿宋" w:cs="宋体"/>
                <w:sz w:val="22"/>
                <w:szCs w:val="22"/>
              </w:rPr>
              <w:t>96套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尺寸</w:t>
            </w:r>
          </w:p>
          <w:p>
            <w:pPr>
              <w:pStyle w:val="19"/>
              <w:spacing w:line="300" w:lineRule="exact"/>
              <w:jc w:val="center"/>
              <w:rPr>
                <w:rFonts w:ascii="仿宋" w:hAnsi="仿宋" w:eastAsia="仿宋" w:cs="宋体"/>
              </w:rPr>
            </w:pPr>
            <w:r>
              <w:rPr>
                <w:rFonts w:hint="eastAsia" w:ascii="仿宋" w:hAnsi="仿宋" w:eastAsia="仿宋" w:cs="宋体"/>
              </w:rPr>
              <w:t>（长×宽×高）</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rPr>
                <w:rFonts w:ascii="仿宋" w:hAnsi="仿宋" w:eastAsia="仿宋" w:cs="宋体"/>
                <w:sz w:val="22"/>
                <w:szCs w:val="22"/>
              </w:rPr>
            </w:pPr>
            <w:r>
              <w:rPr>
                <w:rFonts w:hint="eastAsia" w:ascii="仿宋" w:hAnsi="仿宋" w:eastAsia="仿宋" w:cs="宋体"/>
                <w:sz w:val="22"/>
                <w:szCs w:val="22"/>
              </w:rPr>
              <w:t>须满足设备投放场所空间要求，</w:t>
            </w:r>
            <w:r>
              <w:rPr>
                <w:rFonts w:hint="eastAsia" w:ascii="仿宋" w:hAnsi="仿宋" w:eastAsia="仿宋" w:cs="宋体"/>
                <w:color w:val="auto"/>
                <w:kern w:val="2"/>
                <w:sz w:val="22"/>
                <w:szCs w:val="22"/>
              </w:rPr>
              <w:t>出水嘴与平台间距离</w:t>
            </w:r>
            <w:r>
              <w:rPr>
                <w:rFonts w:hint="eastAsia" w:ascii="仿宋" w:hAnsi="仿宋" w:eastAsia="仿宋" w:cs="宋体"/>
                <w:sz w:val="22"/>
                <w:szCs w:val="22"/>
              </w:rPr>
              <w:t>具备放置学生常用8磅暖水瓶取水。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电源</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jc w:val="center"/>
              <w:rPr>
                <w:rFonts w:ascii="仿宋" w:hAnsi="仿宋" w:eastAsia="仿宋" w:cs="宋体"/>
                <w:sz w:val="22"/>
                <w:szCs w:val="22"/>
              </w:rPr>
            </w:pPr>
            <w:r>
              <w:rPr>
                <w:rFonts w:hint="eastAsia" w:ascii="仿宋" w:hAnsi="仿宋" w:eastAsia="仿宋" w:cs="宋体"/>
                <w:sz w:val="22"/>
                <w:szCs w:val="22"/>
              </w:rPr>
              <w:t>380V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功率</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jc w:val="center"/>
              <w:rPr>
                <w:rFonts w:ascii="仿宋" w:hAnsi="仿宋" w:eastAsia="仿宋" w:cs="宋体"/>
                <w:sz w:val="22"/>
                <w:szCs w:val="22"/>
              </w:rPr>
            </w:pPr>
            <w:r>
              <w:rPr>
                <w:rFonts w:hint="eastAsia" w:ascii="仿宋" w:hAnsi="仿宋" w:eastAsia="仿宋" w:cs="宋体"/>
                <w:sz w:val="22"/>
                <w:szCs w:val="22"/>
              </w:rPr>
              <w:t>≥6KW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水胆容量</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jc w:val="center"/>
              <w:rPr>
                <w:rFonts w:ascii="仿宋" w:hAnsi="仿宋" w:eastAsia="仿宋" w:cs="宋体"/>
                <w:sz w:val="22"/>
                <w:szCs w:val="22"/>
              </w:rPr>
            </w:pPr>
            <w:r>
              <w:rPr>
                <w:rFonts w:hint="eastAsia" w:ascii="仿宋" w:hAnsi="仿宋" w:eastAsia="仿宋" w:cs="宋体"/>
                <w:sz w:val="22"/>
                <w:szCs w:val="22"/>
              </w:rPr>
              <w:t>≥60L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配置</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jc w:val="center"/>
              <w:rPr>
                <w:rFonts w:ascii="仿宋" w:hAnsi="仿宋" w:eastAsia="仿宋" w:cs="宋体"/>
                <w:sz w:val="22"/>
                <w:szCs w:val="22"/>
              </w:rPr>
            </w:pPr>
            <w:r>
              <w:rPr>
                <w:rFonts w:hint="eastAsia" w:ascii="仿宋" w:hAnsi="仿宋" w:eastAsia="仿宋" w:cs="宋体"/>
                <w:sz w:val="22"/>
                <w:szCs w:val="22"/>
              </w:rPr>
              <w:t>两开水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bCs/>
                <w:sz w:val="24"/>
              </w:rPr>
            </w:pPr>
            <w:r>
              <w:rPr>
                <w:rFonts w:hint="eastAsia" w:ascii="仿宋" w:hAnsi="仿宋" w:eastAsia="仿宋" w:cs="宋体"/>
                <w:bCs/>
                <w:sz w:val="24"/>
              </w:rPr>
              <w:t>整机尺寸</w:t>
            </w:r>
          </w:p>
        </w:tc>
        <w:tc>
          <w:tcPr>
            <w:tcW w:w="7057"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仿宋" w:hAnsi="仿宋" w:eastAsia="仿宋" w:cs="宋体"/>
                <w:sz w:val="22"/>
                <w:szCs w:val="22"/>
                <w:lang w:val="en-US" w:eastAsia="zh-CN"/>
              </w:rPr>
            </w:pPr>
            <w:r>
              <w:rPr>
                <w:rFonts w:hint="eastAsia" w:ascii="仿宋" w:hAnsi="仿宋" w:eastAsia="仿宋" w:cs="宋体"/>
                <w:sz w:val="22"/>
                <w:szCs w:val="22"/>
                <w:lang w:val="en-US" w:eastAsia="zh-CN"/>
              </w:rPr>
              <w:t>厚度≤500mm，具体尺寸依据现场勘察情况测定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出水方式</w:t>
            </w:r>
          </w:p>
        </w:tc>
        <w:tc>
          <w:tcPr>
            <w:tcW w:w="7057" w:type="dxa"/>
            <w:tcBorders>
              <w:top w:val="single" w:color="auto" w:sz="4" w:space="0"/>
              <w:left w:val="nil"/>
              <w:bottom w:val="single" w:color="auto" w:sz="4" w:space="0"/>
              <w:right w:val="single" w:color="auto" w:sz="4" w:space="0"/>
            </w:tcBorders>
            <w:vAlign w:val="center"/>
          </w:tcPr>
          <w:p>
            <w:pPr>
              <w:pStyle w:val="19"/>
              <w:spacing w:line="220" w:lineRule="exact"/>
              <w:jc w:val="center"/>
              <w:rPr>
                <w:rFonts w:ascii="仿宋" w:hAnsi="仿宋" w:eastAsia="仿宋" w:cs="宋体"/>
                <w:sz w:val="22"/>
                <w:szCs w:val="22"/>
              </w:rPr>
            </w:pPr>
            <w:r>
              <w:rPr>
                <w:rFonts w:hint="eastAsia" w:ascii="仿宋" w:hAnsi="仿宋" w:eastAsia="仿宋" w:cs="宋体"/>
                <w:sz w:val="22"/>
                <w:szCs w:val="22"/>
              </w:rPr>
              <w:t>具备支付宝、微信扫码取水。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产品材质</w:t>
            </w:r>
          </w:p>
        </w:tc>
        <w:tc>
          <w:tcPr>
            <w:tcW w:w="7057" w:type="dxa"/>
            <w:tcBorders>
              <w:top w:val="single" w:color="auto" w:sz="4" w:space="0"/>
              <w:left w:val="nil"/>
              <w:bottom w:val="single" w:color="auto" w:sz="4" w:space="0"/>
              <w:right w:val="single" w:color="auto" w:sz="4" w:space="0"/>
            </w:tcBorders>
            <w:vAlign w:val="center"/>
          </w:tcPr>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1．整机连接处需采用一体成形或焊接打磨，严禁使用塑料等连接件。</w:t>
            </w:r>
          </w:p>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2．水槽采用304不锈钢，厚度≥0.8mm防溅水设计。</w:t>
            </w:r>
          </w:p>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3．水胆采用304不锈钢，厚度≥1.0mm。投标文件中须提供水胆涉及饮用水卫生安全产品卫生许可批件复印件。</w:t>
            </w:r>
          </w:p>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4．所投产品外壳为304不锈钢+静电喷涂材质。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安全技术配置</w:t>
            </w:r>
          </w:p>
        </w:tc>
        <w:tc>
          <w:tcPr>
            <w:tcW w:w="7057" w:type="dxa"/>
            <w:tcBorders>
              <w:top w:val="single" w:color="auto" w:sz="4" w:space="0"/>
              <w:left w:val="nil"/>
              <w:bottom w:val="single" w:color="auto" w:sz="4" w:space="0"/>
              <w:right w:val="single" w:color="auto" w:sz="4" w:space="0"/>
            </w:tcBorders>
            <w:vAlign w:val="center"/>
          </w:tcPr>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1．设备外表应平整光滑，其易触及的零部件棱边和尖角应圆滑或加以防护。</w:t>
            </w:r>
          </w:p>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2．防漏电、防干烧、防超温、防开盖投毒、防蒸气烫伤等全面防护。</w:t>
            </w:r>
          </w:p>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3．防触电I类、防护等级IP44。</w:t>
            </w:r>
          </w:p>
          <w:p>
            <w:pPr>
              <w:pStyle w:val="19"/>
              <w:spacing w:line="210" w:lineRule="exact"/>
              <w:rPr>
                <w:rFonts w:ascii="仿宋" w:hAnsi="仿宋" w:eastAsia="仿宋" w:cs="宋体"/>
                <w:color w:val="auto"/>
                <w:sz w:val="22"/>
                <w:szCs w:val="22"/>
              </w:rPr>
            </w:pPr>
            <w:r>
              <w:rPr>
                <w:rFonts w:hint="eastAsia" w:ascii="仿宋" w:hAnsi="仿宋" w:eastAsia="仿宋" w:cs="宋体"/>
                <w:color w:val="auto"/>
                <w:sz w:val="22"/>
                <w:szCs w:val="22"/>
              </w:rPr>
              <w:t>4．所投产品中涉水部件水胆、水龙头、波纹管所使用的金属材料及制品中接触面使用的金属基材、金属镀层和焊接材料不应对人体健康造成危害。提供由第三方认证机构出具的试验报告。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32"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jc w:val="center"/>
              <w:rPr>
                <w:rFonts w:ascii="仿宋" w:hAnsi="仿宋" w:eastAsia="仿宋" w:cs="宋体"/>
              </w:rPr>
            </w:pPr>
            <w:r>
              <w:rPr>
                <w:rFonts w:hint="eastAsia" w:ascii="仿宋" w:hAnsi="仿宋" w:eastAsia="仿宋" w:cs="宋体"/>
              </w:rPr>
              <w:t>智能技术配置</w:t>
            </w:r>
          </w:p>
        </w:tc>
        <w:tc>
          <w:tcPr>
            <w:tcW w:w="7057" w:type="dxa"/>
            <w:tcBorders>
              <w:top w:val="single" w:color="auto" w:sz="4" w:space="0"/>
              <w:left w:val="nil"/>
              <w:bottom w:val="single" w:color="auto" w:sz="4" w:space="0"/>
              <w:right w:val="single" w:color="auto" w:sz="4" w:space="0"/>
            </w:tcBorders>
            <w:vAlign w:val="center"/>
          </w:tcPr>
          <w:p>
            <w:pPr>
              <w:pStyle w:val="19"/>
              <w:spacing w:line="210" w:lineRule="exact"/>
              <w:rPr>
                <w:rFonts w:ascii="仿宋" w:hAnsi="仿宋" w:eastAsia="仿宋" w:cs="宋体"/>
                <w:sz w:val="22"/>
                <w:szCs w:val="22"/>
              </w:rPr>
            </w:pPr>
            <w:r>
              <w:rPr>
                <w:rFonts w:hint="eastAsia" w:ascii="仿宋" w:hAnsi="仿宋" w:eastAsia="仿宋" w:cs="宋体"/>
                <w:sz w:val="22"/>
                <w:szCs w:val="22"/>
              </w:rPr>
              <w:t>1．采用智能主控系统，带有日期显示、流量显示、定时开关机功能、隔夜排空时间设置、无干预式自动消毒、温度显示、加热提示、温保提示等数码一体化控制功能，可设置每周工作日和每天工作时间。</w:t>
            </w:r>
          </w:p>
          <w:p>
            <w:pPr>
              <w:pStyle w:val="19"/>
              <w:spacing w:line="210" w:lineRule="exact"/>
              <w:rPr>
                <w:rFonts w:ascii="仿宋" w:hAnsi="仿宋" w:eastAsia="仿宋" w:cs="宋体"/>
                <w:sz w:val="22"/>
                <w:szCs w:val="22"/>
              </w:rPr>
            </w:pPr>
            <w:r>
              <w:rPr>
                <w:rFonts w:hint="eastAsia" w:ascii="仿宋" w:hAnsi="仿宋" w:eastAsia="仿宋" w:cs="宋体"/>
                <w:sz w:val="22"/>
                <w:szCs w:val="22"/>
              </w:rPr>
              <w:t>2．设备需要具有无干预式自动消毒技术，可以随时对饮水设备进行物理消毒。</w:t>
            </w:r>
          </w:p>
          <w:p>
            <w:pPr>
              <w:pStyle w:val="19"/>
              <w:spacing w:line="210" w:lineRule="exact"/>
              <w:rPr>
                <w:rFonts w:ascii="仿宋" w:hAnsi="仿宋" w:eastAsia="仿宋" w:cs="宋体"/>
                <w:sz w:val="22"/>
                <w:szCs w:val="22"/>
              </w:rPr>
            </w:pPr>
            <w:r>
              <w:rPr>
                <w:rFonts w:hint="eastAsia" w:ascii="仿宋" w:hAnsi="仿宋" w:eastAsia="仿宋" w:cs="宋体"/>
                <w:sz w:val="22"/>
                <w:szCs w:val="22"/>
              </w:rPr>
              <w:t>3．设备出水水嘴需要具备防尘功能，防止取水时的二次污染，保证饮水健康。</w:t>
            </w:r>
          </w:p>
          <w:p>
            <w:pPr>
              <w:pStyle w:val="19"/>
              <w:spacing w:line="210" w:lineRule="exact"/>
              <w:rPr>
                <w:rFonts w:ascii="仿宋" w:hAnsi="仿宋" w:eastAsia="仿宋" w:cs="宋体"/>
                <w:sz w:val="22"/>
                <w:szCs w:val="22"/>
              </w:rPr>
            </w:pPr>
            <w:r>
              <w:rPr>
                <w:rFonts w:hint="eastAsia" w:ascii="仿宋" w:hAnsi="仿宋" w:eastAsia="仿宋" w:cs="宋体"/>
                <w:sz w:val="22"/>
                <w:szCs w:val="22"/>
              </w:rPr>
              <w:t>4．设备需要具备接水防溅结构，防止学生取水时烫伤，保证饮水安全。</w:t>
            </w:r>
          </w:p>
          <w:p>
            <w:pPr>
              <w:pStyle w:val="19"/>
              <w:spacing w:line="210" w:lineRule="exact"/>
              <w:rPr>
                <w:rFonts w:ascii="仿宋" w:hAnsi="仿宋" w:eastAsia="仿宋" w:cs="宋体"/>
                <w:sz w:val="22"/>
                <w:szCs w:val="22"/>
              </w:rPr>
            </w:pPr>
            <w:r>
              <w:rPr>
                <w:rFonts w:hint="eastAsia" w:ascii="仿宋" w:hAnsi="仿宋" w:eastAsia="仿宋" w:cs="宋体"/>
                <w:sz w:val="22"/>
                <w:szCs w:val="22"/>
              </w:rPr>
              <w:t>5．水电智能联动：采用电脑主板智能控制机器内多个液位传感器，进水、出水和加热协同进行，同时设定自动定时开关，达到最优的整体节水节电效应。</w:t>
            </w:r>
          </w:p>
        </w:tc>
      </w:tr>
    </w:tbl>
    <w:p>
      <w:pPr>
        <w:spacing w:line="340" w:lineRule="exact"/>
        <w:ind w:firstLine="482" w:firstLineChars="200"/>
        <w:rPr>
          <w:rFonts w:ascii="宋体" w:hAnsi="宋体" w:cs="华文楷体"/>
          <w:b/>
          <w:sz w:val="24"/>
        </w:rPr>
      </w:pPr>
      <w:r>
        <w:rPr>
          <w:rFonts w:hint="eastAsia" w:ascii="宋体" w:hAnsi="宋体" w:cs="华文楷体"/>
          <w:b/>
          <w:sz w:val="24"/>
        </w:rPr>
        <w:t>二、其他要求：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 w:val="0"/>
          <w:bCs/>
          <w:color w:val="auto"/>
          <w:sz w:val="24"/>
        </w:rPr>
      </w:pPr>
      <w:r>
        <w:rPr>
          <w:rFonts w:hint="eastAsia" w:ascii="宋体" w:hAnsi="宋体" w:cs="华文楷体"/>
          <w:sz w:val="24"/>
        </w:rPr>
        <w:t>1</w:t>
      </w:r>
      <w:r>
        <w:rPr>
          <w:rFonts w:hint="eastAsia" w:ascii="宋体" w:hAnsi="宋体" w:cs="华文楷体"/>
          <w:color w:val="FF0000"/>
          <w:sz w:val="24"/>
        </w:rPr>
        <w:t>.</w:t>
      </w:r>
      <w:r>
        <w:rPr>
          <w:rFonts w:hint="eastAsia" w:ascii="宋体" w:hAnsi="宋体"/>
          <w:b w:val="0"/>
          <w:bCs/>
          <w:color w:val="auto"/>
          <w:sz w:val="24"/>
        </w:rPr>
        <w:t>本项目免费质保不少于</w:t>
      </w:r>
      <w:r>
        <w:rPr>
          <w:rFonts w:hint="eastAsia" w:ascii="宋体" w:hAnsi="宋体"/>
          <w:b w:val="0"/>
          <w:bCs/>
          <w:color w:val="auto"/>
          <w:sz w:val="24"/>
          <w:lang w:val="en-US" w:eastAsia="zh-CN"/>
        </w:rPr>
        <w:t>两</w:t>
      </w:r>
      <w:r>
        <w:rPr>
          <w:rFonts w:hint="eastAsia" w:ascii="宋体" w:hAnsi="宋体"/>
          <w:b w:val="0"/>
          <w:bCs/>
          <w:color w:val="auto"/>
          <w:sz w:val="24"/>
        </w:rPr>
        <w:t>年</w:t>
      </w:r>
      <w:r>
        <w:rPr>
          <w:rFonts w:hint="eastAsia" w:ascii="宋体" w:hAnsi="宋体" w:cs="华文楷体"/>
          <w:b w:val="0"/>
          <w:bCs/>
          <w:color w:val="auto"/>
          <w:sz w:val="24"/>
        </w:rPr>
        <w:t>，质保期自设备安装及调试完毕、经采购单位验收合格之日算起。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sz w:val="24"/>
        </w:rPr>
        <w:t>2.所供产品应有生产厂、产品编号或生产型号，具有明显的生产厂或品牌标记，易于识别。</w:t>
      </w:r>
      <w:r>
        <w:rPr>
          <w:rFonts w:hint="eastAsia" w:ascii="宋体" w:hAnsi="宋体" w:cs="华文楷体"/>
          <w:bCs/>
          <w:sz w:val="24"/>
        </w:rPr>
        <w:t>在成交封样阶段和产品批量供货阶段招标方可随机抽取产品进行第三方检测，如发现和投标文件不符，将取消投标人资格并要</w:t>
      </w:r>
      <w:r>
        <w:rPr>
          <w:rFonts w:hint="eastAsia" w:ascii="宋体" w:hAnsi="宋体" w:cs="华文楷体"/>
          <w:bCs/>
          <w:color w:val="000000"/>
          <w:sz w:val="24"/>
        </w:rPr>
        <w:t>求承担全部损失。</w:t>
      </w:r>
      <w:r>
        <w:rPr>
          <w:rFonts w:hint="eastAsia" w:ascii="宋体" w:hAnsi="宋体" w:cs="华文楷体"/>
          <w:bCs/>
          <w:sz w:val="24"/>
        </w:rPr>
        <w:t>供货时成交人需提供主材发货清单原件或复印件加盖生产厂家的公章，并提供生产厂商的联系电话。</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3.提供现场免费安装、调试设备，进行操作试验，直至运行正常，提供操作及维护培训。在未验收前，货物保管、安全均由供应商负责。</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4.提供的产品须为原装正品，相关的配套附件质量优良，数量齐全。并在标书中注明可选配件的价格。</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5.本项目投标时需附开水器安装的具体施工方案，注明开水器预安装地面的改造方案等情况。</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6.服务要求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6.1中标人应加强日常维护管理和监测，根据使用情况及时进行消毒、维修、保养，保证供水安全。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6.2投标人应提供方案配置图及配置思路及适用机型。</w:t>
      </w:r>
    </w:p>
    <w:p>
      <w:pPr>
        <w:keepNext w:val="0"/>
        <w:keepLines w:val="0"/>
        <w:pageBreakBefore w:val="0"/>
        <w:widowControl w:val="0"/>
        <w:shd w:val="clear" w:color="auto"/>
        <w:kinsoku/>
        <w:wordWrap/>
        <w:overflowPunct/>
        <w:topLinePunct w:val="0"/>
        <w:autoSpaceDE/>
        <w:autoSpaceDN/>
        <w:bidi w:val="0"/>
        <w:adjustRightInd/>
        <w:snapToGrid/>
        <w:spacing w:line="320" w:lineRule="exact"/>
        <w:ind w:firstLine="480" w:firstLineChars="200"/>
        <w:textAlignment w:val="auto"/>
        <w:rPr>
          <w:rFonts w:ascii="宋体" w:hAnsi="宋体" w:cs="华文楷体"/>
          <w:bCs/>
          <w:color w:val="auto"/>
          <w:sz w:val="24"/>
          <w:shd w:val="clear" w:color="auto" w:fill="auto"/>
        </w:rPr>
      </w:pPr>
      <w:r>
        <w:rPr>
          <w:rFonts w:hint="eastAsia" w:ascii="宋体" w:hAnsi="宋体" w:cs="华文楷体"/>
          <w:bCs/>
          <w:color w:val="auto"/>
          <w:sz w:val="24"/>
          <w:shd w:val="clear" w:color="auto" w:fill="auto"/>
        </w:rPr>
        <w:t>6.3质保期内，投标人必须保证开水器的正常使用，出现的配件更换及维修由投标人无常提供服务。（加热管、放水阀除外）</w:t>
      </w:r>
    </w:p>
    <w:p>
      <w:pPr>
        <w:keepNext w:val="0"/>
        <w:keepLines w:val="0"/>
        <w:pageBreakBefore w:val="0"/>
        <w:widowControl w:val="0"/>
        <w:shd w:val="clear" w:color="auto"/>
        <w:kinsoku/>
        <w:wordWrap/>
        <w:overflowPunct/>
        <w:topLinePunct w:val="0"/>
        <w:autoSpaceDE/>
        <w:autoSpaceDN/>
        <w:bidi w:val="0"/>
        <w:adjustRightInd/>
        <w:snapToGrid/>
        <w:spacing w:line="320" w:lineRule="exact"/>
        <w:ind w:firstLine="480" w:firstLineChars="200"/>
        <w:textAlignment w:val="auto"/>
        <w:rPr>
          <w:rFonts w:ascii="宋体" w:hAnsi="宋体" w:cs="华文楷体"/>
          <w:bCs/>
          <w:color w:val="auto"/>
          <w:sz w:val="24"/>
          <w:shd w:val="clear" w:color="auto" w:fill="auto"/>
        </w:rPr>
      </w:pPr>
      <w:r>
        <w:rPr>
          <w:rFonts w:hint="eastAsia" w:ascii="宋体" w:hAnsi="宋体" w:cs="华文楷体"/>
          <w:bCs/>
          <w:color w:val="auto"/>
          <w:sz w:val="24"/>
          <w:shd w:val="clear" w:color="auto" w:fill="auto"/>
        </w:rPr>
        <w:t>6.4质保期内，一旦发生质量问题，供应商保证在接到通知1小时以内响应，小故障3小时内修复，较大故障12小时内修复。如有更换配件当天不能完成的，必须报请学院相关部门并挂好停用标识，并于48小时内完成维修。如设备出现重大故障不能于48小时内完成维修的，投标人应当提供备用机。如因设备维修不及时造成安全责任完全由中标单位承担。开水器设备因同一故障经三次维修仍然不能正常使用的，投标人应当无条件更换新机。</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否则，采购方有权自行派人进行修复，发生的费用在质量保修金内按实扣除，另扣双倍费用作为违约赔偿。</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6.5使用单位如发现水质异常，将立即停用设备，并报中标设备厂家检修，水质恢复正常标准后恢复使用。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6.6开水器设备质保期内，因开水器设备和出水质量而发生的一切安全问题，均由投标人负完全责任，由投标人按照国家法律规定承担一切责任。</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7.培训计划</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投标人应当制定详细的设备操作培训计划，并附培训资料明细，提供设备清洁、定期检查计划：制定详细的设备检查周期及检查项目，重点制定设备相关配件清洁计划及周期，同时对于清洁用品的选择进行书面告知，并对我院相关工作人员进行定期培训。</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8.安装规范</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8.1所有开水器以及管线必须接地线。</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8.2所有净水管路必须使用食品级PE两分管或三分管，禁止使用非食品级净水管路。</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8.3隐蔽工程处(如吊顶内部)PE管必须加套PVC线管，严禁裸管。</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8.4非隐蔽工程处需使用管线槽，安装时务必注意美观，横平竖直，拐弯处需要使用拐角护套.禁止走地面铺管。</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cs="华文楷体"/>
          <w:bCs/>
          <w:sz w:val="24"/>
        </w:rPr>
      </w:pPr>
      <w:r>
        <w:rPr>
          <w:rFonts w:hint="eastAsia" w:ascii="宋体" w:hAnsi="宋体" w:cs="华文楷体"/>
          <w:bCs/>
          <w:sz w:val="24"/>
        </w:rPr>
        <w:t>8.5饮水点预留适当长度的水管，以方便后期调整机器位置。管线需要用扎带或绕线器整理整齐。</w:t>
      </w:r>
    </w:p>
    <w:p>
      <w:pPr>
        <w:keepNext w:val="0"/>
        <w:keepLines w:val="0"/>
        <w:pageBreakBefore w:val="0"/>
        <w:widowControl w:val="0"/>
        <w:shd w:val="clear" w:color="auto"/>
        <w:kinsoku/>
        <w:wordWrap/>
        <w:overflowPunct/>
        <w:topLinePunct w:val="0"/>
        <w:autoSpaceDE/>
        <w:autoSpaceDN/>
        <w:bidi w:val="0"/>
        <w:adjustRightInd/>
        <w:snapToGrid/>
        <w:spacing w:line="320" w:lineRule="exact"/>
        <w:ind w:firstLine="480" w:firstLineChars="200"/>
        <w:textAlignment w:val="auto"/>
        <w:rPr>
          <w:color w:val="auto"/>
          <w:shd w:val="clear" w:color="auto" w:fill="auto"/>
        </w:rPr>
      </w:pPr>
      <w:r>
        <w:rPr>
          <w:rFonts w:hint="eastAsia" w:ascii="宋体" w:hAnsi="宋体" w:cs="华文楷体"/>
          <w:bCs/>
          <w:color w:val="auto"/>
          <w:sz w:val="24"/>
          <w:shd w:val="clear" w:color="auto" w:fill="auto"/>
        </w:rPr>
        <w:t>8.6 中标单位根据现场勘查情况，开展精准测量，细化安装方案，务必要求所有线路、管路安装整体性和安全性，保证中间无拼接、虚接、接续等情况发生。</w:t>
      </w:r>
    </w:p>
    <w:p>
      <w:pPr>
        <w:keepNext w:val="0"/>
        <w:keepLines w:val="0"/>
        <w:pageBreakBefore w:val="0"/>
        <w:widowControl w:val="0"/>
        <w:shd w:val="clear"/>
        <w:kinsoku/>
        <w:wordWrap/>
        <w:overflowPunct/>
        <w:topLinePunct w:val="0"/>
        <w:autoSpaceDE/>
        <w:autoSpaceDN/>
        <w:bidi w:val="0"/>
        <w:adjustRightInd/>
        <w:snapToGrid/>
        <w:spacing w:line="320" w:lineRule="exact"/>
        <w:ind w:firstLine="480" w:firstLineChars="200"/>
        <w:textAlignment w:val="auto"/>
        <w:rPr>
          <w:rFonts w:ascii="宋体" w:hAnsi="宋体" w:cs="华文楷体"/>
          <w:bCs/>
          <w:color w:val="auto"/>
          <w:sz w:val="24"/>
          <w:shd w:val="clear" w:color="auto" w:fill="auto"/>
        </w:rPr>
      </w:pPr>
      <w:r>
        <w:rPr>
          <w:rFonts w:hint="eastAsia" w:ascii="宋体" w:hAnsi="宋体" w:cs="华文楷体"/>
          <w:bCs/>
          <w:color w:val="auto"/>
          <w:sz w:val="24"/>
          <w:shd w:val="clear" w:color="auto" w:fill="auto"/>
        </w:rPr>
        <w:t>8.6中标单位需提供具体安装规范说明。</w:t>
      </w:r>
    </w:p>
    <w:p>
      <w:pPr>
        <w:keepNext w:val="0"/>
        <w:keepLines w:val="0"/>
        <w:pageBreakBefore w:val="0"/>
        <w:widowControl w:val="0"/>
        <w:shd w:val="clear"/>
        <w:kinsoku/>
        <w:wordWrap/>
        <w:overflowPunct/>
        <w:topLinePunct w:val="0"/>
        <w:autoSpaceDE/>
        <w:autoSpaceDN/>
        <w:bidi w:val="0"/>
        <w:adjustRightInd/>
        <w:snapToGrid/>
        <w:spacing w:line="320" w:lineRule="exact"/>
        <w:ind w:firstLine="480" w:firstLineChars="200"/>
        <w:textAlignment w:val="auto"/>
        <w:rPr>
          <w:rFonts w:ascii="宋体" w:hAnsi="宋体" w:cs="华文楷体"/>
          <w:bCs/>
          <w:color w:val="auto"/>
          <w:sz w:val="24"/>
          <w:shd w:val="clear" w:color="auto" w:fill="auto"/>
        </w:rPr>
      </w:pPr>
      <w:r>
        <w:rPr>
          <w:rFonts w:hint="eastAsia" w:ascii="宋体" w:hAnsi="宋体" w:cs="华文楷体"/>
          <w:bCs/>
          <w:color w:val="auto"/>
          <w:sz w:val="24"/>
          <w:shd w:val="clear" w:color="auto" w:fill="auto"/>
        </w:rPr>
        <w:t>8.7中标供应商在此项目涉及的施工安装材料进场前，必须先报后勤保障部验收合格后方能使用；如因安装不规范或材料不合格导致的水管爆裂等安全隐患造成招标单位财产损失情况，由中标单位全责承担。</w:t>
      </w:r>
    </w:p>
    <w:p>
      <w:pPr>
        <w:keepNext w:val="0"/>
        <w:keepLines w:val="0"/>
        <w:pageBreakBefore w:val="0"/>
        <w:widowControl w:val="0"/>
        <w:shd w:val="clear"/>
        <w:kinsoku/>
        <w:wordWrap/>
        <w:overflowPunct/>
        <w:topLinePunct w:val="0"/>
        <w:autoSpaceDE/>
        <w:autoSpaceDN/>
        <w:bidi w:val="0"/>
        <w:adjustRightInd/>
        <w:snapToGrid/>
        <w:spacing w:line="320" w:lineRule="exact"/>
        <w:ind w:firstLine="480" w:firstLineChars="200"/>
        <w:textAlignment w:val="auto"/>
        <w:rPr>
          <w:rFonts w:hint="eastAsia" w:ascii="宋体" w:hAnsi="宋体" w:cs="华文楷体"/>
          <w:bCs/>
          <w:color w:val="auto"/>
          <w:sz w:val="24"/>
          <w:shd w:val="clear" w:color="auto" w:fill="auto"/>
        </w:rPr>
      </w:pPr>
      <w:r>
        <w:rPr>
          <w:rFonts w:hint="eastAsia" w:ascii="宋体" w:hAnsi="宋体" w:cs="华文楷体"/>
          <w:bCs/>
          <w:color w:val="auto"/>
          <w:sz w:val="24"/>
          <w:shd w:val="clear" w:color="auto" w:fill="auto"/>
        </w:rPr>
        <w:t>9.开水器出水结算方式</w:t>
      </w:r>
    </w:p>
    <w:p>
      <w:pPr>
        <w:keepNext w:val="0"/>
        <w:keepLines w:val="0"/>
        <w:pageBreakBefore w:val="0"/>
        <w:widowControl w:val="0"/>
        <w:shd w:val="clear"/>
        <w:kinsoku/>
        <w:wordWrap/>
        <w:overflowPunct/>
        <w:topLinePunct w:val="0"/>
        <w:autoSpaceDE/>
        <w:autoSpaceDN/>
        <w:bidi w:val="0"/>
        <w:adjustRightInd/>
        <w:snapToGrid/>
        <w:spacing w:line="320" w:lineRule="exact"/>
        <w:ind w:firstLine="480" w:firstLineChars="200"/>
        <w:textAlignment w:val="auto"/>
        <w:rPr>
          <w:rFonts w:hint="eastAsia" w:ascii="宋体" w:hAnsi="宋体" w:cs="华文楷体"/>
          <w:bCs/>
          <w:color w:val="auto"/>
          <w:sz w:val="24"/>
          <w:shd w:val="clear" w:color="auto" w:fill="auto"/>
        </w:rPr>
      </w:pPr>
      <w:r>
        <w:rPr>
          <w:rFonts w:hint="eastAsia" w:ascii="宋体" w:hAnsi="宋体" w:cs="华文楷体"/>
          <w:bCs/>
          <w:color w:val="auto"/>
          <w:sz w:val="24"/>
          <w:shd w:val="clear" w:color="auto" w:fill="auto"/>
        </w:rPr>
        <w:t>用户通过扫描支付宝、微信二维码方式支付单次开水费用，支付二维码由招标人江苏师范大学科文学院提供，并管理该项收费；投标供应商所提供的支付系统需满足0.03元/升，最低扣费金额为0.01元（计量约≦330ml）。</w:t>
      </w:r>
    </w:p>
    <w:p>
      <w:pPr>
        <w:pStyle w:val="2"/>
        <w:pageBreakBefore w:val="0"/>
        <w:widowControl w:val="0"/>
        <w:kinsoku/>
        <w:wordWrap/>
        <w:overflowPunct/>
        <w:topLinePunct w:val="0"/>
        <w:autoSpaceDE/>
        <w:autoSpaceDN/>
        <w:bidi w:val="0"/>
        <w:adjustRightInd/>
        <w:snapToGrid/>
        <w:spacing w:before="0" w:after="0" w:line="560" w:lineRule="exact"/>
        <w:ind w:firstLine="422" w:firstLineChars="200"/>
        <w:textAlignment w:val="auto"/>
      </w:pPr>
    </w:p>
    <w:p>
      <w:pPr>
        <w:sectPr>
          <w:footerReference r:id="rId3" w:type="default"/>
          <w:pgSz w:w="11906" w:h="16838"/>
          <w:pgMar w:top="1383" w:right="1080" w:bottom="986" w:left="1080" w:header="851" w:footer="709" w:gutter="0"/>
          <w:cols w:space="720" w:num="1"/>
          <w:docGrid w:linePitch="312" w:charSpace="0"/>
        </w:sectPr>
      </w:pPr>
    </w:p>
    <w:p>
      <w:pPr>
        <w:pStyle w:val="2"/>
        <w:rPr>
          <w:rFonts w:ascii="宋体" w:hAnsi="宋体"/>
          <w:kern w:val="0"/>
          <w:sz w:val="24"/>
        </w:rPr>
      </w:pPr>
      <w:r>
        <w:rPr>
          <w:rFonts w:hint="eastAsia" w:ascii="宋体" w:hAnsi="宋体"/>
          <w:kern w:val="0"/>
          <w:sz w:val="24"/>
        </w:rPr>
        <w:t>第三章    投标文件格式</w:t>
      </w:r>
    </w:p>
    <w:p>
      <w:pPr>
        <w:ind w:firstLine="482" w:firstLineChars="200"/>
        <w:rPr>
          <w:rFonts w:ascii="宋体" w:hAnsi="宋体"/>
          <w:b/>
          <w:bCs/>
          <w:kern w:val="0"/>
          <w:sz w:val="24"/>
        </w:rPr>
      </w:pPr>
      <w:r>
        <w:rPr>
          <w:rFonts w:hint="eastAsia" w:ascii="宋体" w:hAnsi="宋体"/>
          <w:b/>
          <w:sz w:val="24"/>
        </w:rPr>
        <w:t xml:space="preserve">   投标人提交文件须知：</w:t>
      </w:r>
    </w:p>
    <w:p>
      <w:pPr>
        <w:pStyle w:val="14"/>
        <w:numPr>
          <w:ilvl w:val="0"/>
          <w:numId w:val="0"/>
        </w:numPr>
        <w:ind w:firstLine="480" w:firstLineChars="200"/>
        <w:rPr>
          <w:b/>
          <w:sz w:val="24"/>
          <w:szCs w:val="24"/>
        </w:rPr>
      </w:pPr>
      <w:r>
        <w:rPr>
          <w:rFonts w:hint="eastAsia"/>
          <w:sz w:val="24"/>
          <w:szCs w:val="24"/>
        </w:rPr>
        <w:t>1．磋商文件中有投标文件格式模板的，按本文件提供的模板填写；没有模板的，投标人自行编制。投标文件的编写顺序按“第一章总则 4.投标文件的编制”要求进行，混乱的编排以致投标文件被误读或采购人查找不到有效文件，后果由投标人承担</w:t>
      </w:r>
    </w:p>
    <w:p>
      <w:pPr>
        <w:pStyle w:val="14"/>
        <w:numPr>
          <w:ilvl w:val="0"/>
          <w:numId w:val="0"/>
        </w:numPr>
        <w:ind w:firstLine="480" w:firstLineChars="200"/>
        <w:rPr>
          <w:sz w:val="24"/>
          <w:szCs w:val="24"/>
        </w:rPr>
      </w:pPr>
      <w:r>
        <w:rPr>
          <w:rFonts w:hint="eastAsia"/>
          <w:sz w:val="24"/>
          <w:szCs w:val="24"/>
        </w:rPr>
        <w:t>2.所附表格中要求回答的全部问题和信息都必须正面回答。</w:t>
      </w:r>
    </w:p>
    <w:p>
      <w:pPr>
        <w:pStyle w:val="14"/>
        <w:numPr>
          <w:ilvl w:val="0"/>
          <w:numId w:val="0"/>
        </w:numPr>
        <w:ind w:firstLine="480" w:firstLineChars="200"/>
        <w:rPr>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14"/>
        <w:numPr>
          <w:ilvl w:val="0"/>
          <w:numId w:val="0"/>
        </w:numPr>
        <w:rPr>
          <w:b/>
          <w:sz w:val="24"/>
          <w:szCs w:val="24"/>
        </w:rPr>
      </w:pPr>
      <w:r>
        <w:rPr>
          <w:rFonts w:hint="eastAsia"/>
          <w:b/>
          <w:sz w:val="24"/>
          <w:szCs w:val="24"/>
        </w:rPr>
        <w:br w:type="page"/>
      </w:r>
      <w:r>
        <w:rPr>
          <w:rFonts w:hint="eastAsia"/>
          <w:b/>
          <w:sz w:val="24"/>
          <w:szCs w:val="24"/>
        </w:rPr>
        <w:t>(一)投标函</w:t>
      </w:r>
    </w:p>
    <w:p>
      <w:pPr>
        <w:pStyle w:val="17"/>
        <w:adjustRightInd/>
        <w:rPr>
          <w:kern w:val="2"/>
          <w:sz w:val="24"/>
          <w:szCs w:val="24"/>
        </w:rPr>
      </w:pPr>
      <w:r>
        <w:rPr>
          <w:rFonts w:hint="eastAsia"/>
          <w:kern w:val="2"/>
          <w:sz w:val="24"/>
          <w:szCs w:val="24"/>
          <w:u w:val="single"/>
        </w:rPr>
        <w:t>江苏师范大学科文学院</w:t>
      </w:r>
      <w:r>
        <w:rPr>
          <w:rFonts w:hint="eastAsia"/>
          <w:kern w:val="2"/>
          <w:sz w:val="24"/>
          <w:szCs w:val="24"/>
        </w:rPr>
        <w:t>：</w:t>
      </w:r>
    </w:p>
    <w:p>
      <w:pPr>
        <w:widowControl/>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(项目名称、项目编号)采购的有关活动，并对此项目进行投标，为此：</w:t>
      </w:r>
    </w:p>
    <w:p>
      <w:pPr>
        <w:pStyle w:val="14"/>
        <w:numPr>
          <w:ilvl w:val="0"/>
          <w:numId w:val="0"/>
        </w:numPr>
        <w:ind w:left="2" w:leftChars="1" w:firstLine="480" w:firstLineChars="200"/>
        <w:rPr>
          <w:sz w:val="24"/>
          <w:szCs w:val="24"/>
        </w:rPr>
      </w:pPr>
      <w:r>
        <w:rPr>
          <w:rFonts w:hint="eastAsia"/>
          <w:sz w:val="24"/>
          <w:szCs w:val="24"/>
        </w:rPr>
        <w:t>1.我方同意在本项目招标文件中规定的投标日起</w:t>
      </w:r>
      <w:r>
        <w:rPr>
          <w:rFonts w:hint="eastAsia"/>
          <w:color w:val="000000"/>
          <w:sz w:val="24"/>
          <w:szCs w:val="24"/>
          <w:u w:val="single"/>
        </w:rPr>
        <w:t>90日内</w:t>
      </w:r>
      <w:r>
        <w:rPr>
          <w:rFonts w:hint="eastAsia"/>
          <w:sz w:val="24"/>
          <w:szCs w:val="24"/>
        </w:rPr>
        <w:t>遵守本文中的承诺且在此期限期满之前均具有约束力。</w:t>
      </w:r>
    </w:p>
    <w:p>
      <w:pPr>
        <w:pStyle w:val="14"/>
        <w:numPr>
          <w:ilvl w:val="0"/>
          <w:numId w:val="0"/>
        </w:numPr>
        <w:ind w:left="2" w:leftChars="1" w:firstLine="480" w:firstLineChars="200"/>
        <w:rPr>
          <w:sz w:val="24"/>
          <w:szCs w:val="24"/>
        </w:rPr>
      </w:pPr>
      <w:r>
        <w:rPr>
          <w:rFonts w:hint="eastAsia"/>
          <w:sz w:val="24"/>
          <w:szCs w:val="24"/>
        </w:rPr>
        <w:t>2.我方承诺已经具备《中华人民共和国政府采购法》中规定的参加政府采购活动的供应商应当具备及本项目规定的资格条件。</w:t>
      </w:r>
    </w:p>
    <w:p>
      <w:pPr>
        <w:pStyle w:val="14"/>
        <w:numPr>
          <w:ilvl w:val="0"/>
          <w:numId w:val="0"/>
        </w:numPr>
        <w:ind w:left="2" w:leftChars="1" w:firstLine="480" w:firstLineChars="200"/>
        <w:rPr>
          <w:sz w:val="24"/>
          <w:szCs w:val="24"/>
        </w:rPr>
      </w:pPr>
      <w:r>
        <w:rPr>
          <w:rFonts w:hint="eastAsia"/>
          <w:sz w:val="24"/>
          <w:szCs w:val="24"/>
        </w:rPr>
        <w:t>3.提供投标须知规定的全部招标文件，包括招标文件</w:t>
      </w:r>
      <w:r>
        <w:rPr>
          <w:rFonts w:hint="eastAsia"/>
          <w:b/>
          <w:sz w:val="24"/>
          <w:szCs w:val="24"/>
        </w:rPr>
        <w:t>正本1份，副本4份</w:t>
      </w:r>
      <w:r>
        <w:rPr>
          <w:rFonts w:hint="eastAsia"/>
          <w:sz w:val="24"/>
          <w:szCs w:val="24"/>
        </w:rPr>
        <w:t>。</w:t>
      </w:r>
    </w:p>
    <w:p>
      <w:pPr>
        <w:pStyle w:val="14"/>
        <w:numPr>
          <w:ilvl w:val="0"/>
          <w:numId w:val="0"/>
        </w:numPr>
        <w:ind w:left="2" w:leftChars="1" w:firstLine="480" w:firstLineChars="200"/>
        <w:rPr>
          <w:sz w:val="24"/>
          <w:szCs w:val="24"/>
        </w:rPr>
      </w:pPr>
      <w:r>
        <w:rPr>
          <w:rFonts w:hint="eastAsia"/>
          <w:sz w:val="24"/>
          <w:szCs w:val="24"/>
        </w:rPr>
        <w:t>4.按招标文件要求提供和交付的货物和服务的投标详见报价明细表及服务方案。</w:t>
      </w:r>
    </w:p>
    <w:p>
      <w:pPr>
        <w:pStyle w:val="14"/>
        <w:numPr>
          <w:ilvl w:val="0"/>
          <w:numId w:val="0"/>
        </w:numPr>
        <w:ind w:left="2" w:leftChars="1" w:firstLine="480" w:firstLineChars="200"/>
        <w:rPr>
          <w:sz w:val="24"/>
          <w:szCs w:val="24"/>
        </w:rPr>
      </w:pPr>
      <w:r>
        <w:rPr>
          <w:rFonts w:hint="eastAsia"/>
          <w:sz w:val="24"/>
          <w:szCs w:val="24"/>
        </w:rPr>
        <w:t>5.保证忠实执行双方签订的合同，并承担合同规定的责任和义务。</w:t>
      </w:r>
    </w:p>
    <w:p>
      <w:pPr>
        <w:pStyle w:val="14"/>
        <w:numPr>
          <w:ilvl w:val="0"/>
          <w:numId w:val="0"/>
        </w:numPr>
        <w:ind w:left="2" w:leftChars="1" w:firstLine="480" w:firstLineChars="200"/>
        <w:rPr>
          <w:sz w:val="24"/>
          <w:szCs w:val="24"/>
        </w:rPr>
      </w:pPr>
      <w:r>
        <w:rPr>
          <w:rFonts w:hint="eastAsia"/>
          <w:sz w:val="24"/>
          <w:szCs w:val="24"/>
        </w:rPr>
        <w:t>6.保证遵守招标文件的各项规定。</w:t>
      </w:r>
    </w:p>
    <w:p>
      <w:pPr>
        <w:pStyle w:val="14"/>
        <w:numPr>
          <w:ilvl w:val="0"/>
          <w:numId w:val="0"/>
        </w:numPr>
        <w:ind w:left="2" w:leftChars="1" w:firstLine="480" w:firstLineChars="200"/>
        <w:rPr>
          <w:sz w:val="24"/>
          <w:szCs w:val="24"/>
        </w:rPr>
      </w:pPr>
      <w:r>
        <w:rPr>
          <w:rFonts w:hint="eastAsia"/>
          <w:sz w:val="24"/>
          <w:szCs w:val="24"/>
        </w:rPr>
        <w:t>7.如果在规定的投标有效期内撤回投标，我方同意将被列入不良记录名单。</w:t>
      </w:r>
    </w:p>
    <w:p>
      <w:pPr>
        <w:pStyle w:val="14"/>
        <w:numPr>
          <w:ilvl w:val="0"/>
          <w:numId w:val="0"/>
        </w:numPr>
        <w:ind w:left="2" w:leftChars="1" w:firstLine="480" w:firstLineChars="200"/>
        <w:rPr>
          <w:sz w:val="24"/>
          <w:szCs w:val="24"/>
        </w:rPr>
      </w:pPr>
      <w:r>
        <w:rPr>
          <w:rFonts w:hint="eastAsia"/>
          <w:sz w:val="24"/>
          <w:szCs w:val="24"/>
        </w:rPr>
        <w:t>8.我方完全理解贵方不一定接受最低价的投标。</w:t>
      </w:r>
    </w:p>
    <w:p>
      <w:pPr>
        <w:pStyle w:val="14"/>
        <w:numPr>
          <w:ilvl w:val="0"/>
          <w:numId w:val="0"/>
        </w:numPr>
        <w:ind w:left="2" w:leftChars="1" w:firstLine="480" w:firstLineChars="200"/>
        <w:rPr>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14"/>
        <w:numPr>
          <w:ilvl w:val="0"/>
          <w:numId w:val="0"/>
        </w:numPr>
        <w:ind w:left="2" w:leftChars="1" w:firstLine="480" w:firstLineChars="200"/>
        <w:rPr>
          <w:sz w:val="24"/>
          <w:szCs w:val="24"/>
        </w:rPr>
      </w:pPr>
      <w:r>
        <w:rPr>
          <w:rFonts w:hint="eastAsia"/>
          <w:sz w:val="24"/>
          <w:szCs w:val="24"/>
        </w:rPr>
        <w:t>10.我方承诺：采购人如果需追加采购本项目招标文件所列货物及相关服务的，在不改变合同其他实质性条款的前提下，按相同或更优惠的折扣保证供货。</w:t>
      </w:r>
    </w:p>
    <w:p>
      <w:pPr>
        <w:pStyle w:val="14"/>
        <w:numPr>
          <w:ilvl w:val="0"/>
          <w:numId w:val="0"/>
        </w:numPr>
        <w:ind w:left="2" w:leftChars="1" w:firstLine="480" w:firstLineChars="200"/>
        <w:rPr>
          <w:sz w:val="24"/>
          <w:szCs w:val="24"/>
        </w:rPr>
      </w:pPr>
      <w:r>
        <w:rPr>
          <w:rFonts w:hint="eastAsia"/>
          <w:sz w:val="24"/>
          <w:szCs w:val="24"/>
        </w:rPr>
        <w:t>11.我方承诺接受招标文件中《成交合同》的全部条款且无任何异议。</w:t>
      </w:r>
    </w:p>
    <w:p>
      <w:pPr>
        <w:pStyle w:val="14"/>
        <w:numPr>
          <w:ilvl w:val="0"/>
          <w:numId w:val="0"/>
        </w:numPr>
        <w:ind w:left="2" w:leftChars="1" w:firstLine="480" w:firstLineChars="200"/>
        <w:rPr>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4"/>
        </w:numPr>
        <w:ind w:left="0" w:firstLine="480" w:firstLineChars="200"/>
        <w:rPr>
          <w:rFonts w:ascii="宋体" w:hAnsi="宋体"/>
          <w:sz w:val="24"/>
        </w:rPr>
      </w:pPr>
      <w:r>
        <w:rPr>
          <w:rFonts w:hint="eastAsia" w:ascii="宋体" w:hAnsi="宋体"/>
          <w:sz w:val="24"/>
        </w:rPr>
        <w:t>提供虚假材料谋取成交的；</w:t>
      </w:r>
    </w:p>
    <w:p>
      <w:pPr>
        <w:numPr>
          <w:ilvl w:val="0"/>
          <w:numId w:val="4"/>
        </w:numPr>
        <w:ind w:left="0" w:firstLine="480" w:firstLineChars="200"/>
        <w:rPr>
          <w:rFonts w:ascii="宋体" w:hAnsi="宋体"/>
          <w:sz w:val="24"/>
        </w:rPr>
      </w:pPr>
      <w:r>
        <w:rPr>
          <w:rFonts w:hint="eastAsia" w:ascii="宋体" w:hAnsi="宋体"/>
          <w:sz w:val="24"/>
        </w:rPr>
        <w:t>采取不正当手段诋毁、排挤其他供应商的；</w:t>
      </w:r>
    </w:p>
    <w:p>
      <w:pPr>
        <w:numPr>
          <w:ilvl w:val="0"/>
          <w:numId w:val="4"/>
        </w:numPr>
        <w:ind w:left="0" w:firstLine="480" w:firstLineChars="200"/>
        <w:rPr>
          <w:rFonts w:ascii="宋体" w:hAnsi="宋体"/>
          <w:sz w:val="24"/>
        </w:rPr>
      </w:pPr>
      <w:r>
        <w:rPr>
          <w:rFonts w:hint="eastAsia" w:ascii="宋体" w:hAnsi="宋体"/>
          <w:sz w:val="24"/>
        </w:rPr>
        <w:t>与采购人、其它供应商或者采购人工作人员恶意串通的；</w:t>
      </w:r>
    </w:p>
    <w:p>
      <w:pPr>
        <w:numPr>
          <w:ilvl w:val="0"/>
          <w:numId w:val="4"/>
        </w:numPr>
        <w:ind w:left="0" w:firstLine="480" w:firstLineChars="200"/>
        <w:rPr>
          <w:rFonts w:ascii="宋体" w:hAnsi="宋体"/>
          <w:sz w:val="24"/>
        </w:rPr>
      </w:pPr>
      <w:r>
        <w:rPr>
          <w:rFonts w:hint="eastAsia" w:ascii="宋体" w:hAnsi="宋体"/>
          <w:sz w:val="24"/>
        </w:rPr>
        <w:t>向采购人、采购人工作人员行贿或者提供其他不正当利益的；</w:t>
      </w:r>
    </w:p>
    <w:p>
      <w:pPr>
        <w:numPr>
          <w:ilvl w:val="0"/>
          <w:numId w:val="4"/>
        </w:numPr>
        <w:ind w:left="0" w:firstLine="480" w:firstLineChars="200"/>
        <w:rPr>
          <w:rFonts w:ascii="宋体" w:hAnsi="宋体"/>
          <w:sz w:val="24"/>
        </w:rPr>
      </w:pPr>
      <w:r>
        <w:rPr>
          <w:rFonts w:hint="eastAsia" w:ascii="宋体" w:hAnsi="宋体"/>
          <w:sz w:val="24"/>
        </w:rPr>
        <w:t>未经采购人同意，在采购过程中与采购人进行协商招标的；</w:t>
      </w:r>
    </w:p>
    <w:p>
      <w:pPr>
        <w:numPr>
          <w:ilvl w:val="0"/>
          <w:numId w:val="4"/>
        </w:numPr>
        <w:ind w:left="0" w:firstLine="480" w:firstLineChars="200"/>
        <w:rPr>
          <w:rFonts w:ascii="宋体" w:hAnsi="宋体"/>
          <w:sz w:val="24"/>
        </w:rPr>
      </w:pPr>
      <w:r>
        <w:rPr>
          <w:rFonts w:hint="eastAsia" w:ascii="宋体" w:hAnsi="宋体"/>
          <w:sz w:val="24"/>
        </w:rPr>
        <w:t>拒绝有关部门监督检查或提供虚假情况的；</w:t>
      </w:r>
    </w:p>
    <w:p>
      <w:pPr>
        <w:numPr>
          <w:ilvl w:val="0"/>
          <w:numId w:val="4"/>
        </w:numPr>
        <w:ind w:left="0" w:firstLine="480" w:firstLineChars="200"/>
        <w:rPr>
          <w:rFonts w:ascii="宋体" w:hAnsi="宋体"/>
          <w:sz w:val="24"/>
        </w:rPr>
      </w:pPr>
      <w:r>
        <w:rPr>
          <w:rFonts w:hint="eastAsia" w:ascii="宋体" w:hAnsi="宋体"/>
          <w:sz w:val="24"/>
        </w:rPr>
        <w:t>拒绝质量技术监督部门对投标样品或成交货物作质量检验的。</w:t>
      </w:r>
    </w:p>
    <w:p>
      <w:pPr>
        <w:ind w:firstLine="480" w:firstLineChars="200"/>
        <w:rPr>
          <w:rFonts w:ascii="宋体" w:hAnsi="宋体"/>
          <w:sz w:val="24"/>
        </w:rPr>
      </w:pPr>
      <w:r>
        <w:rPr>
          <w:rFonts w:hint="eastAsia" w:ascii="宋体" w:hAnsi="宋体"/>
          <w:sz w:val="24"/>
        </w:rPr>
        <w:t>与本投标有关的一切往来通讯请寄：</w:t>
      </w:r>
    </w:p>
    <w:p>
      <w:pPr>
        <w:tabs>
          <w:tab w:val="left" w:pos="480"/>
        </w:tabs>
        <w:ind w:firstLine="480" w:firstLineChars="200"/>
        <w:rPr>
          <w:rFonts w:ascii="宋体" w:hAnsi="宋体"/>
          <w:sz w:val="24"/>
        </w:rPr>
      </w:pPr>
      <w:r>
        <w:rPr>
          <w:rFonts w:hint="eastAsia" w:ascii="宋体" w:hAnsi="宋体"/>
          <w:sz w:val="24"/>
        </w:rPr>
        <w:t xml:space="preserve">地址：__________________________  </w:t>
      </w:r>
    </w:p>
    <w:p>
      <w:pPr>
        <w:tabs>
          <w:tab w:val="left" w:pos="480"/>
        </w:tabs>
        <w:ind w:firstLine="480" w:firstLineChars="200"/>
        <w:rPr>
          <w:rFonts w:ascii="宋体" w:hAnsi="宋体"/>
          <w:sz w:val="24"/>
        </w:rPr>
      </w:pPr>
      <w:r>
        <w:rPr>
          <w:rFonts w:hint="eastAsia" w:ascii="宋体" w:hAnsi="宋体"/>
          <w:sz w:val="24"/>
        </w:rPr>
        <w:t>邮编：__________________________</w:t>
      </w:r>
    </w:p>
    <w:p>
      <w:pPr>
        <w:tabs>
          <w:tab w:val="left" w:pos="480"/>
        </w:tabs>
        <w:ind w:firstLine="480" w:firstLineChars="200"/>
        <w:rPr>
          <w:rFonts w:ascii="宋体" w:hAnsi="宋体"/>
          <w:sz w:val="24"/>
        </w:rPr>
      </w:pPr>
      <w:r>
        <w:rPr>
          <w:rFonts w:hint="eastAsia" w:ascii="宋体" w:hAnsi="宋体"/>
          <w:sz w:val="24"/>
        </w:rPr>
        <w:t>电话：</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1" w:name="_Toc36287943"/>
      <w:bookmarkStart w:id="2" w:name="_Toc20642290"/>
      <w:bookmarkStart w:id="3" w:name="_Toc20816120"/>
      <w:bookmarkStart w:id="4" w:name="_Toc21000519"/>
      <w:bookmarkStart w:id="5" w:name="_Toc20988289"/>
      <w:bookmarkStart w:id="6" w:name="_Toc21001363"/>
    </w:p>
    <w:p>
      <w:pPr>
        <w:jc w:val="left"/>
        <w:rPr>
          <w:rFonts w:ascii="宋体" w:hAnsi="宋体"/>
          <w:sz w:val="24"/>
        </w:rPr>
      </w:pPr>
      <w:r>
        <w:rPr>
          <w:rFonts w:hint="eastAsia" w:ascii="宋体" w:hAnsi="宋体"/>
          <w:b/>
          <w:bCs/>
          <w:kern w:val="0"/>
          <w:sz w:val="24"/>
        </w:rPr>
        <w:br w:type="page"/>
      </w:r>
      <w:r>
        <w:rPr>
          <w:rFonts w:hint="eastAsia" w:ascii="宋体" w:hAnsi="宋体"/>
          <w:b/>
          <w:bCs/>
          <w:kern w:val="0"/>
          <w:sz w:val="24"/>
        </w:rPr>
        <w:t>（二）投标报价一览表</w:t>
      </w:r>
    </w:p>
    <w:p>
      <w:pPr>
        <w:rPr>
          <w:rFonts w:ascii="宋体" w:hAnsi="宋体"/>
          <w:b/>
          <w:bCs/>
          <w:color w:val="000000"/>
          <w:sz w:val="24"/>
        </w:rPr>
      </w:pPr>
    </w:p>
    <w:tbl>
      <w:tblPr>
        <w:tblStyle w:val="10"/>
        <w:tblW w:w="9303" w:type="dxa"/>
        <w:tblInd w:w="95" w:type="dxa"/>
        <w:tblLayout w:type="fixed"/>
        <w:tblCellMar>
          <w:top w:w="0" w:type="dxa"/>
          <w:left w:w="108" w:type="dxa"/>
          <w:bottom w:w="0" w:type="dxa"/>
          <w:right w:w="108" w:type="dxa"/>
        </w:tblCellMar>
      </w:tblPr>
      <w:tblGrid>
        <w:gridCol w:w="722"/>
        <w:gridCol w:w="1219"/>
        <w:gridCol w:w="1011"/>
        <w:gridCol w:w="1709"/>
        <w:gridCol w:w="1933"/>
        <w:gridCol w:w="1221"/>
        <w:gridCol w:w="1488"/>
      </w:tblGrid>
      <w:tr>
        <w:tblPrEx>
          <w:tblCellMar>
            <w:top w:w="0" w:type="dxa"/>
            <w:left w:w="108" w:type="dxa"/>
            <w:bottom w:w="0" w:type="dxa"/>
            <w:right w:w="108" w:type="dxa"/>
          </w:tblCellMar>
        </w:tblPrEx>
        <w:trPr>
          <w:trHeight w:val="455" w:hRule="atLeast"/>
        </w:trPr>
        <w:tc>
          <w:tcPr>
            <w:tcW w:w="722"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序号</w:t>
            </w:r>
          </w:p>
        </w:tc>
        <w:tc>
          <w:tcPr>
            <w:tcW w:w="1219" w:type="dxa"/>
            <w:tcBorders>
              <w:top w:val="single" w:color="auto" w:sz="4" w:space="0"/>
              <w:left w:val="nil"/>
              <w:bottom w:val="single" w:color="auto" w:sz="4" w:space="0"/>
              <w:right w:val="single" w:color="auto" w:sz="4" w:space="0"/>
            </w:tcBorders>
            <w:shd w:val="clear" w:color="000000" w:fill="D8D8D8"/>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设备名称</w:t>
            </w:r>
          </w:p>
        </w:tc>
        <w:tc>
          <w:tcPr>
            <w:tcW w:w="1011" w:type="dxa"/>
            <w:tcBorders>
              <w:top w:val="single" w:color="auto" w:sz="4" w:space="0"/>
              <w:left w:val="nil"/>
              <w:bottom w:val="single" w:color="auto" w:sz="4" w:space="0"/>
              <w:right w:val="single" w:color="auto" w:sz="4" w:space="0"/>
            </w:tcBorders>
            <w:shd w:val="clear" w:color="000000" w:fill="D8D8D8"/>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数量</w:t>
            </w:r>
          </w:p>
        </w:tc>
        <w:tc>
          <w:tcPr>
            <w:tcW w:w="1709" w:type="dxa"/>
            <w:tcBorders>
              <w:top w:val="single" w:color="auto" w:sz="4" w:space="0"/>
              <w:left w:val="nil"/>
              <w:bottom w:val="single" w:color="auto" w:sz="4" w:space="0"/>
              <w:right w:val="single" w:color="auto" w:sz="4" w:space="0"/>
            </w:tcBorders>
            <w:shd w:val="clear" w:color="000000" w:fill="D8D8D8"/>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品牌型号</w:t>
            </w:r>
          </w:p>
        </w:tc>
        <w:tc>
          <w:tcPr>
            <w:tcW w:w="1933" w:type="dxa"/>
            <w:tcBorders>
              <w:top w:val="single" w:color="auto" w:sz="4" w:space="0"/>
              <w:left w:val="nil"/>
              <w:bottom w:val="single" w:color="auto" w:sz="4" w:space="0"/>
              <w:right w:val="single" w:color="auto" w:sz="4" w:space="0"/>
            </w:tcBorders>
            <w:shd w:val="clear" w:color="000000" w:fill="D8D8D8"/>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规格和技术参数</w:t>
            </w:r>
          </w:p>
        </w:tc>
        <w:tc>
          <w:tcPr>
            <w:tcW w:w="1221" w:type="dxa"/>
            <w:tcBorders>
              <w:top w:val="single" w:color="auto" w:sz="4" w:space="0"/>
              <w:left w:val="nil"/>
              <w:bottom w:val="single" w:color="auto" w:sz="4" w:space="0"/>
              <w:right w:val="single" w:color="auto" w:sz="4" w:space="0"/>
            </w:tcBorders>
            <w:shd w:val="clear" w:color="000000" w:fill="D8D8D8"/>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单价（元）</w:t>
            </w:r>
          </w:p>
        </w:tc>
        <w:tc>
          <w:tcPr>
            <w:tcW w:w="1488"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总价（元）</w:t>
            </w:r>
          </w:p>
        </w:tc>
      </w:tr>
      <w:tr>
        <w:tblPrEx>
          <w:tblCellMar>
            <w:top w:w="0" w:type="dxa"/>
            <w:left w:w="108" w:type="dxa"/>
            <w:bottom w:w="0" w:type="dxa"/>
            <w:right w:w="108" w:type="dxa"/>
          </w:tblCellMar>
        </w:tblPrEx>
        <w:trPr>
          <w:trHeight w:val="90" w:hRule="atLeast"/>
        </w:trPr>
        <w:tc>
          <w:tcPr>
            <w:tcW w:w="722" w:type="dxa"/>
            <w:tcBorders>
              <w:top w:val="nil"/>
              <w:left w:val="single" w:color="auto" w:sz="4" w:space="0"/>
              <w:bottom w:val="single" w:color="auto" w:sz="4" w:space="0"/>
              <w:right w:val="single" w:color="auto" w:sz="4" w:space="0"/>
            </w:tcBorders>
            <w:vAlign w:val="center"/>
          </w:tcPr>
          <w:p>
            <w:pPr>
              <w:widowControl/>
              <w:jc w:val="center"/>
              <w:rPr>
                <w:rFonts w:ascii="宋体" w:hAnsi="宋体" w:cs="华文楷体"/>
                <w:color w:val="000000"/>
                <w:kern w:val="0"/>
                <w:szCs w:val="21"/>
              </w:rPr>
            </w:pPr>
            <w:r>
              <w:rPr>
                <w:rFonts w:hint="eastAsia" w:ascii="宋体" w:hAnsi="宋体" w:cs="华文楷体"/>
                <w:color w:val="000000"/>
                <w:kern w:val="0"/>
                <w:szCs w:val="21"/>
              </w:rPr>
              <w:t>1</w:t>
            </w:r>
          </w:p>
        </w:tc>
        <w:tc>
          <w:tcPr>
            <w:tcW w:w="1219" w:type="dxa"/>
            <w:tcBorders>
              <w:top w:val="nil"/>
              <w:left w:val="nil"/>
              <w:bottom w:val="single" w:color="auto" w:sz="4" w:space="0"/>
              <w:right w:val="single" w:color="auto" w:sz="4" w:space="0"/>
            </w:tcBorders>
            <w:vAlign w:val="center"/>
          </w:tcPr>
          <w:p>
            <w:pPr>
              <w:spacing w:line="340" w:lineRule="exact"/>
              <w:jc w:val="center"/>
              <w:rPr>
                <w:rFonts w:ascii="宋体" w:hAnsi="宋体" w:cs="华文楷体"/>
                <w:color w:val="000000"/>
                <w:sz w:val="24"/>
              </w:rPr>
            </w:pPr>
          </w:p>
        </w:tc>
        <w:tc>
          <w:tcPr>
            <w:tcW w:w="1011" w:type="dxa"/>
            <w:tcBorders>
              <w:top w:val="nil"/>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709" w:type="dxa"/>
            <w:tcBorders>
              <w:top w:val="nil"/>
              <w:left w:val="nil"/>
              <w:bottom w:val="single" w:color="auto" w:sz="4" w:space="0"/>
              <w:right w:val="single" w:color="auto" w:sz="4" w:space="0"/>
            </w:tcBorders>
            <w:vAlign w:val="center"/>
          </w:tcPr>
          <w:p>
            <w:pPr>
              <w:widowControl/>
              <w:spacing w:line="500" w:lineRule="exact"/>
              <w:jc w:val="center"/>
              <w:rPr>
                <w:rFonts w:ascii="宋体" w:hAnsi="宋体" w:cs="华文楷体"/>
                <w:color w:val="000000"/>
                <w:kern w:val="0"/>
                <w:szCs w:val="21"/>
              </w:rPr>
            </w:pPr>
          </w:p>
        </w:tc>
        <w:tc>
          <w:tcPr>
            <w:tcW w:w="1933" w:type="dxa"/>
            <w:tcBorders>
              <w:top w:val="nil"/>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22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华文楷体"/>
                <w:color w:val="000000"/>
                <w:kern w:val="0"/>
                <w:szCs w:val="21"/>
              </w:rPr>
            </w:pPr>
          </w:p>
        </w:tc>
        <w:tc>
          <w:tcPr>
            <w:tcW w:w="148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华文楷体"/>
                <w:color w:val="000000"/>
                <w:kern w:val="0"/>
                <w:szCs w:val="21"/>
              </w:rPr>
            </w:pPr>
          </w:p>
        </w:tc>
      </w:tr>
      <w:tr>
        <w:tblPrEx>
          <w:tblCellMar>
            <w:top w:w="0" w:type="dxa"/>
            <w:left w:w="108" w:type="dxa"/>
            <w:bottom w:w="0" w:type="dxa"/>
            <w:right w:w="108" w:type="dxa"/>
          </w:tblCellMar>
        </w:tblPrEx>
        <w:trPr>
          <w:trHeight w:val="256" w:hRule="atLeast"/>
        </w:trPr>
        <w:tc>
          <w:tcPr>
            <w:tcW w:w="722" w:type="dxa"/>
            <w:tcBorders>
              <w:top w:val="nil"/>
              <w:left w:val="single" w:color="auto" w:sz="4" w:space="0"/>
              <w:bottom w:val="single" w:color="auto" w:sz="4" w:space="0"/>
              <w:right w:val="single" w:color="auto" w:sz="4" w:space="0"/>
            </w:tcBorders>
            <w:vAlign w:val="center"/>
          </w:tcPr>
          <w:p>
            <w:pPr>
              <w:widowControl/>
              <w:jc w:val="center"/>
              <w:rPr>
                <w:rFonts w:ascii="宋体" w:hAnsi="宋体" w:cs="华文楷体"/>
                <w:color w:val="000000"/>
                <w:kern w:val="0"/>
                <w:szCs w:val="21"/>
              </w:rPr>
            </w:pPr>
            <w:r>
              <w:rPr>
                <w:rFonts w:hint="eastAsia" w:ascii="宋体" w:hAnsi="宋体" w:cs="华文楷体"/>
                <w:color w:val="000000"/>
                <w:kern w:val="0"/>
                <w:szCs w:val="21"/>
              </w:rPr>
              <w:t>2</w:t>
            </w:r>
          </w:p>
        </w:tc>
        <w:tc>
          <w:tcPr>
            <w:tcW w:w="1219" w:type="dxa"/>
            <w:tcBorders>
              <w:top w:val="nil"/>
              <w:left w:val="nil"/>
              <w:bottom w:val="single" w:color="auto" w:sz="4" w:space="0"/>
              <w:right w:val="single" w:color="auto" w:sz="4" w:space="0"/>
            </w:tcBorders>
            <w:vAlign w:val="center"/>
          </w:tcPr>
          <w:p>
            <w:pPr>
              <w:spacing w:line="340" w:lineRule="exact"/>
              <w:jc w:val="center"/>
              <w:rPr>
                <w:rFonts w:ascii="宋体" w:hAnsi="宋体" w:cs="华文楷体"/>
                <w:color w:val="000000"/>
                <w:sz w:val="24"/>
              </w:rPr>
            </w:pPr>
          </w:p>
        </w:tc>
        <w:tc>
          <w:tcPr>
            <w:tcW w:w="1011" w:type="dxa"/>
            <w:tcBorders>
              <w:top w:val="nil"/>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709" w:type="dxa"/>
            <w:tcBorders>
              <w:top w:val="nil"/>
              <w:left w:val="nil"/>
              <w:bottom w:val="single" w:color="auto" w:sz="4" w:space="0"/>
              <w:right w:val="single" w:color="auto" w:sz="4" w:space="0"/>
            </w:tcBorders>
            <w:vAlign w:val="center"/>
          </w:tcPr>
          <w:p>
            <w:pPr>
              <w:widowControl/>
              <w:spacing w:line="500" w:lineRule="exact"/>
              <w:jc w:val="center"/>
              <w:rPr>
                <w:rFonts w:ascii="宋体" w:hAnsi="宋体" w:cs="华文楷体"/>
                <w:color w:val="000000"/>
                <w:kern w:val="0"/>
                <w:szCs w:val="21"/>
              </w:rPr>
            </w:pPr>
          </w:p>
        </w:tc>
        <w:tc>
          <w:tcPr>
            <w:tcW w:w="1933" w:type="dxa"/>
            <w:tcBorders>
              <w:top w:val="nil"/>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221" w:type="dxa"/>
            <w:tcBorders>
              <w:top w:val="nil"/>
              <w:left w:val="nil"/>
              <w:bottom w:val="single" w:color="auto" w:sz="4" w:space="0"/>
              <w:right w:val="single" w:color="auto" w:sz="4" w:space="0"/>
            </w:tcBorders>
            <w:vAlign w:val="center"/>
          </w:tcPr>
          <w:p>
            <w:pPr>
              <w:widowControl/>
              <w:jc w:val="center"/>
              <w:rPr>
                <w:rFonts w:ascii="宋体" w:hAnsi="宋体" w:cs="华文楷体"/>
                <w:b/>
                <w:color w:val="000000"/>
                <w:kern w:val="0"/>
                <w:szCs w:val="21"/>
              </w:rPr>
            </w:pPr>
          </w:p>
        </w:tc>
        <w:tc>
          <w:tcPr>
            <w:tcW w:w="1488" w:type="dxa"/>
            <w:tcBorders>
              <w:top w:val="nil"/>
              <w:left w:val="single" w:color="auto" w:sz="4" w:space="0"/>
              <w:bottom w:val="single" w:color="auto" w:sz="4" w:space="0"/>
              <w:right w:val="single" w:color="auto" w:sz="4" w:space="0"/>
            </w:tcBorders>
            <w:vAlign w:val="center"/>
          </w:tcPr>
          <w:p>
            <w:pPr>
              <w:widowControl/>
              <w:jc w:val="center"/>
              <w:rPr>
                <w:rFonts w:ascii="宋体" w:hAnsi="宋体" w:cs="华文楷体"/>
                <w:b/>
                <w:color w:val="000000"/>
                <w:kern w:val="0"/>
                <w:szCs w:val="21"/>
              </w:rPr>
            </w:pPr>
          </w:p>
        </w:tc>
      </w:tr>
      <w:tr>
        <w:tblPrEx>
          <w:tblCellMar>
            <w:top w:w="0" w:type="dxa"/>
            <w:left w:w="108" w:type="dxa"/>
            <w:bottom w:w="0" w:type="dxa"/>
            <w:right w:w="108" w:type="dxa"/>
          </w:tblCellMar>
        </w:tblPrEx>
        <w:trPr>
          <w:trHeight w:val="267" w:hRule="atLeast"/>
        </w:trPr>
        <w:tc>
          <w:tcPr>
            <w:tcW w:w="722" w:type="dxa"/>
            <w:tcBorders>
              <w:top w:val="nil"/>
              <w:left w:val="single" w:color="auto" w:sz="4" w:space="0"/>
              <w:bottom w:val="single" w:color="auto" w:sz="4" w:space="0"/>
              <w:right w:val="single" w:color="auto" w:sz="4" w:space="0"/>
            </w:tcBorders>
            <w:vAlign w:val="center"/>
          </w:tcPr>
          <w:p>
            <w:pPr>
              <w:widowControl/>
              <w:jc w:val="center"/>
              <w:rPr>
                <w:rFonts w:ascii="宋体" w:hAnsi="宋体" w:cs="华文楷体"/>
                <w:color w:val="000000"/>
                <w:kern w:val="0"/>
                <w:szCs w:val="21"/>
              </w:rPr>
            </w:pPr>
            <w:r>
              <w:rPr>
                <w:rFonts w:hint="eastAsia" w:ascii="宋体" w:hAnsi="宋体" w:cs="华文楷体"/>
                <w:color w:val="000000"/>
                <w:kern w:val="0"/>
                <w:szCs w:val="21"/>
              </w:rPr>
              <w:t>3</w:t>
            </w:r>
          </w:p>
        </w:tc>
        <w:tc>
          <w:tcPr>
            <w:tcW w:w="1219" w:type="dxa"/>
            <w:tcBorders>
              <w:top w:val="nil"/>
              <w:left w:val="nil"/>
              <w:bottom w:val="single" w:color="auto" w:sz="4" w:space="0"/>
              <w:right w:val="single" w:color="auto" w:sz="4" w:space="0"/>
            </w:tcBorders>
            <w:vAlign w:val="center"/>
          </w:tcPr>
          <w:p>
            <w:pPr>
              <w:spacing w:line="340" w:lineRule="exact"/>
              <w:jc w:val="center"/>
              <w:rPr>
                <w:rFonts w:ascii="宋体" w:hAnsi="宋体" w:cs="华文楷体"/>
                <w:color w:val="000000"/>
                <w:sz w:val="24"/>
              </w:rPr>
            </w:pPr>
          </w:p>
        </w:tc>
        <w:tc>
          <w:tcPr>
            <w:tcW w:w="1011" w:type="dxa"/>
            <w:tcBorders>
              <w:top w:val="nil"/>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709" w:type="dxa"/>
            <w:tcBorders>
              <w:top w:val="nil"/>
              <w:left w:val="nil"/>
              <w:bottom w:val="single" w:color="auto" w:sz="4" w:space="0"/>
              <w:right w:val="single" w:color="auto" w:sz="4" w:space="0"/>
            </w:tcBorders>
            <w:vAlign w:val="center"/>
          </w:tcPr>
          <w:p>
            <w:pPr>
              <w:widowControl/>
              <w:spacing w:line="500" w:lineRule="exact"/>
              <w:jc w:val="center"/>
              <w:rPr>
                <w:rFonts w:ascii="宋体" w:hAnsi="宋体" w:cs="华文楷体"/>
                <w:color w:val="000000"/>
                <w:kern w:val="0"/>
                <w:szCs w:val="21"/>
              </w:rPr>
            </w:pPr>
          </w:p>
        </w:tc>
        <w:tc>
          <w:tcPr>
            <w:tcW w:w="1933" w:type="dxa"/>
            <w:tcBorders>
              <w:top w:val="nil"/>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221" w:type="dxa"/>
            <w:tcBorders>
              <w:top w:val="nil"/>
              <w:left w:val="nil"/>
              <w:bottom w:val="single" w:color="auto" w:sz="4" w:space="0"/>
              <w:right w:val="single" w:color="auto" w:sz="4" w:space="0"/>
            </w:tcBorders>
            <w:vAlign w:val="center"/>
          </w:tcPr>
          <w:p>
            <w:pPr>
              <w:widowControl/>
              <w:jc w:val="center"/>
              <w:rPr>
                <w:rFonts w:ascii="宋体" w:hAnsi="宋体" w:cs="华文楷体"/>
                <w:b/>
                <w:color w:val="000000"/>
                <w:kern w:val="0"/>
                <w:szCs w:val="21"/>
              </w:rPr>
            </w:pPr>
          </w:p>
        </w:tc>
        <w:tc>
          <w:tcPr>
            <w:tcW w:w="1488" w:type="dxa"/>
            <w:tcBorders>
              <w:top w:val="nil"/>
              <w:left w:val="single" w:color="auto" w:sz="4" w:space="0"/>
              <w:bottom w:val="single" w:color="auto" w:sz="4" w:space="0"/>
              <w:right w:val="single" w:color="auto" w:sz="4" w:space="0"/>
            </w:tcBorders>
            <w:vAlign w:val="center"/>
          </w:tcPr>
          <w:p>
            <w:pPr>
              <w:widowControl/>
              <w:jc w:val="center"/>
              <w:rPr>
                <w:rFonts w:ascii="宋体" w:hAnsi="宋体" w:cs="华文楷体"/>
                <w:b/>
                <w:color w:val="000000"/>
                <w:kern w:val="0"/>
                <w:szCs w:val="21"/>
              </w:rPr>
            </w:pPr>
          </w:p>
        </w:tc>
      </w:tr>
      <w:tr>
        <w:tblPrEx>
          <w:tblCellMar>
            <w:top w:w="0" w:type="dxa"/>
            <w:left w:w="108" w:type="dxa"/>
            <w:bottom w:w="0" w:type="dxa"/>
            <w:right w:w="108" w:type="dxa"/>
          </w:tblCellMar>
        </w:tblPrEx>
        <w:trPr>
          <w:trHeight w:val="538" w:hRule="atLeast"/>
        </w:trPr>
        <w:tc>
          <w:tcPr>
            <w:tcW w:w="7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华文楷体"/>
                <w:color w:val="000000"/>
                <w:kern w:val="0"/>
                <w:szCs w:val="21"/>
              </w:rPr>
            </w:pPr>
            <w:r>
              <w:rPr>
                <w:rFonts w:hint="eastAsia" w:ascii="宋体" w:hAnsi="宋体" w:cs="华文楷体"/>
                <w:color w:val="000000"/>
                <w:kern w:val="0"/>
                <w:szCs w:val="21"/>
              </w:rPr>
              <w:t>4</w:t>
            </w:r>
          </w:p>
        </w:tc>
        <w:tc>
          <w:tcPr>
            <w:tcW w:w="121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华文楷体"/>
                <w:color w:val="000000"/>
                <w:sz w:val="24"/>
              </w:rPr>
            </w:pPr>
          </w:p>
        </w:tc>
        <w:tc>
          <w:tcPr>
            <w:tcW w:w="1011" w:type="dxa"/>
            <w:tcBorders>
              <w:top w:val="single" w:color="auto" w:sz="4" w:space="0"/>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709"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hAnsi="宋体" w:cs="华文楷体"/>
                <w:color w:val="000000"/>
                <w:kern w:val="0"/>
                <w:szCs w:val="21"/>
              </w:rPr>
            </w:pPr>
          </w:p>
        </w:tc>
        <w:tc>
          <w:tcPr>
            <w:tcW w:w="1933" w:type="dxa"/>
            <w:tcBorders>
              <w:top w:val="single" w:color="auto" w:sz="4" w:space="0"/>
              <w:left w:val="nil"/>
              <w:bottom w:val="single" w:color="auto" w:sz="4" w:space="0"/>
              <w:right w:val="single" w:color="auto" w:sz="4" w:space="0"/>
            </w:tcBorders>
            <w:vAlign w:val="center"/>
          </w:tcPr>
          <w:p>
            <w:pPr>
              <w:widowControl/>
              <w:jc w:val="center"/>
              <w:rPr>
                <w:rFonts w:ascii="宋体" w:hAnsi="宋体" w:cs="华文楷体"/>
                <w:color w:val="000000"/>
                <w:kern w:val="0"/>
                <w:szCs w:val="21"/>
              </w:rPr>
            </w:pPr>
          </w:p>
        </w:tc>
        <w:tc>
          <w:tcPr>
            <w:tcW w:w="122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华文楷体"/>
                <w:b/>
                <w:color w:val="000000"/>
                <w:kern w:val="0"/>
                <w:szCs w:val="21"/>
              </w:rPr>
            </w:pPr>
          </w:p>
        </w:tc>
        <w:tc>
          <w:tcPr>
            <w:tcW w:w="14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华文楷体"/>
                <w:b/>
                <w:color w:val="000000"/>
                <w:kern w:val="0"/>
                <w:szCs w:val="21"/>
              </w:rPr>
            </w:pPr>
          </w:p>
        </w:tc>
      </w:tr>
      <w:tr>
        <w:tblPrEx>
          <w:tblCellMar>
            <w:top w:w="0" w:type="dxa"/>
            <w:left w:w="108" w:type="dxa"/>
            <w:bottom w:w="0" w:type="dxa"/>
            <w:right w:w="108" w:type="dxa"/>
          </w:tblCellMar>
        </w:tblPrEx>
        <w:trPr>
          <w:trHeight w:val="848" w:hRule="atLeast"/>
        </w:trPr>
        <w:tc>
          <w:tcPr>
            <w:tcW w:w="1941" w:type="dxa"/>
            <w:gridSpan w:val="2"/>
            <w:tcBorders>
              <w:top w:val="single" w:color="auto" w:sz="4" w:space="0"/>
              <w:left w:val="single" w:color="auto" w:sz="4" w:space="0"/>
              <w:bottom w:val="single" w:color="auto" w:sz="4" w:space="0"/>
              <w:right w:val="single" w:color="auto" w:sz="4" w:space="0"/>
            </w:tcBorders>
            <w:vAlign w:val="center"/>
          </w:tcPr>
          <w:p>
            <w:pPr>
              <w:pStyle w:val="14"/>
              <w:numPr>
                <w:ilvl w:val="0"/>
                <w:numId w:val="0"/>
              </w:numPr>
              <w:tabs>
                <w:tab w:val="left" w:pos="0"/>
              </w:tabs>
              <w:spacing w:line="340" w:lineRule="exact"/>
              <w:jc w:val="center"/>
              <w:rPr>
                <w:rFonts w:cs="华文楷体"/>
                <w:color w:val="000000"/>
                <w:kern w:val="2"/>
              </w:rPr>
            </w:pPr>
            <w:r>
              <w:rPr>
                <w:rFonts w:hint="eastAsia" w:cs="华文楷体"/>
                <w:b/>
                <w:bCs/>
                <w:color w:val="000000"/>
                <w:sz w:val="24"/>
                <w:szCs w:val="24"/>
              </w:rPr>
              <w:t>合计（人民币）</w:t>
            </w:r>
          </w:p>
        </w:tc>
        <w:tc>
          <w:tcPr>
            <w:tcW w:w="7362"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华文楷体"/>
                <w:b/>
                <w:color w:val="000000"/>
                <w:kern w:val="0"/>
                <w:szCs w:val="21"/>
              </w:rPr>
            </w:pPr>
            <w:r>
              <w:rPr>
                <w:rFonts w:hint="eastAsia" w:ascii="宋体" w:hAnsi="宋体" w:cs="华文楷体"/>
                <w:b/>
                <w:color w:val="000000"/>
                <w:kern w:val="0"/>
                <w:sz w:val="24"/>
              </w:rPr>
              <w:t>小写：                 （大写：                           ）</w:t>
            </w:r>
          </w:p>
        </w:tc>
      </w:tr>
      <w:tr>
        <w:tblPrEx>
          <w:tblCellMar>
            <w:top w:w="0" w:type="dxa"/>
            <w:left w:w="108" w:type="dxa"/>
            <w:bottom w:w="0" w:type="dxa"/>
            <w:right w:w="108" w:type="dxa"/>
          </w:tblCellMar>
        </w:tblPrEx>
        <w:trPr>
          <w:trHeight w:val="673" w:hRule="atLeast"/>
        </w:trPr>
        <w:tc>
          <w:tcPr>
            <w:tcW w:w="1941" w:type="dxa"/>
            <w:gridSpan w:val="2"/>
            <w:tcBorders>
              <w:top w:val="single" w:color="auto" w:sz="4" w:space="0"/>
              <w:left w:val="single" w:color="auto" w:sz="4" w:space="0"/>
              <w:bottom w:val="single" w:color="auto" w:sz="4" w:space="0"/>
              <w:right w:val="single" w:color="auto" w:sz="4" w:space="0"/>
            </w:tcBorders>
            <w:vAlign w:val="center"/>
          </w:tcPr>
          <w:p>
            <w:pPr>
              <w:pStyle w:val="14"/>
              <w:numPr>
                <w:ilvl w:val="0"/>
                <w:numId w:val="0"/>
              </w:numPr>
              <w:tabs>
                <w:tab w:val="left" w:pos="0"/>
              </w:tabs>
              <w:spacing w:line="340" w:lineRule="exact"/>
              <w:jc w:val="center"/>
              <w:rPr>
                <w:rFonts w:cs="华文楷体"/>
                <w:b/>
                <w:bCs/>
                <w:color w:val="000000"/>
                <w:sz w:val="24"/>
                <w:szCs w:val="24"/>
              </w:rPr>
            </w:pPr>
            <w:r>
              <w:rPr>
                <w:rFonts w:hint="eastAsia" w:cs="华文楷体"/>
                <w:b/>
                <w:bCs/>
                <w:color w:val="000000"/>
                <w:sz w:val="24"/>
                <w:szCs w:val="24"/>
              </w:rPr>
              <w:t>质保期</w:t>
            </w:r>
          </w:p>
        </w:tc>
        <w:tc>
          <w:tcPr>
            <w:tcW w:w="7362"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华文楷体"/>
                <w:b/>
                <w:color w:val="000000"/>
                <w:kern w:val="0"/>
                <w:sz w:val="24"/>
              </w:rPr>
            </w:pPr>
          </w:p>
        </w:tc>
      </w:tr>
      <w:tr>
        <w:tblPrEx>
          <w:tblCellMar>
            <w:top w:w="0" w:type="dxa"/>
            <w:left w:w="108" w:type="dxa"/>
            <w:bottom w:w="0" w:type="dxa"/>
            <w:right w:w="108" w:type="dxa"/>
          </w:tblCellMar>
        </w:tblPrEx>
        <w:trPr>
          <w:trHeight w:val="758" w:hRule="atLeast"/>
        </w:trPr>
        <w:tc>
          <w:tcPr>
            <w:tcW w:w="1941" w:type="dxa"/>
            <w:gridSpan w:val="2"/>
            <w:tcBorders>
              <w:top w:val="single" w:color="auto" w:sz="4" w:space="0"/>
              <w:left w:val="single" w:color="auto" w:sz="4" w:space="0"/>
              <w:bottom w:val="single" w:color="auto" w:sz="4" w:space="0"/>
              <w:right w:val="single" w:color="auto" w:sz="4" w:space="0"/>
            </w:tcBorders>
            <w:vAlign w:val="center"/>
          </w:tcPr>
          <w:p>
            <w:pPr>
              <w:pStyle w:val="14"/>
              <w:numPr>
                <w:ilvl w:val="0"/>
                <w:numId w:val="0"/>
              </w:numPr>
              <w:tabs>
                <w:tab w:val="left" w:pos="0"/>
              </w:tabs>
              <w:spacing w:line="340" w:lineRule="exact"/>
              <w:jc w:val="center"/>
              <w:rPr>
                <w:rFonts w:cs="华文楷体"/>
                <w:b/>
                <w:bCs/>
                <w:color w:val="000000"/>
                <w:sz w:val="24"/>
                <w:szCs w:val="24"/>
              </w:rPr>
            </w:pPr>
            <w:r>
              <w:rPr>
                <w:rFonts w:hint="eastAsia" w:cs="华文楷体"/>
                <w:b/>
                <w:bCs/>
                <w:color w:val="000000"/>
                <w:sz w:val="24"/>
                <w:szCs w:val="24"/>
              </w:rPr>
              <w:t>供货期</w:t>
            </w:r>
          </w:p>
        </w:tc>
        <w:tc>
          <w:tcPr>
            <w:tcW w:w="7362"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华文楷体"/>
                <w:b/>
                <w:color w:val="000000"/>
                <w:kern w:val="0"/>
                <w:sz w:val="24"/>
              </w:rPr>
            </w:pPr>
            <w:r>
              <w:rPr>
                <w:rFonts w:hint="eastAsia" w:ascii="宋体" w:hAnsi="宋体" w:cs="华文楷体"/>
                <w:b/>
                <w:color w:val="000000"/>
                <w:kern w:val="0"/>
                <w:sz w:val="24"/>
              </w:rPr>
              <w:t>______日历天</w:t>
            </w:r>
          </w:p>
        </w:tc>
      </w:tr>
    </w:tbl>
    <w:p>
      <w:pPr>
        <w:spacing w:line="340" w:lineRule="exact"/>
        <w:rPr>
          <w:rFonts w:ascii="宋体" w:hAnsi="宋体" w:cs="华文楷体"/>
          <w:b/>
          <w:color w:val="000000"/>
          <w:sz w:val="24"/>
        </w:rPr>
      </w:pPr>
    </w:p>
    <w:p>
      <w:pPr>
        <w:spacing w:line="340" w:lineRule="exact"/>
        <w:rPr>
          <w:rFonts w:ascii="宋体" w:hAnsi="宋体" w:cs="华文楷体"/>
          <w:b/>
          <w:color w:val="000000"/>
          <w:sz w:val="24"/>
        </w:rPr>
      </w:pPr>
      <w:r>
        <w:rPr>
          <w:rFonts w:hint="eastAsia" w:ascii="宋体" w:hAnsi="宋体" w:cs="华文楷体"/>
          <w:b/>
          <w:color w:val="000000"/>
          <w:sz w:val="24"/>
        </w:rPr>
        <w:t>注：投标报价包含了设备运输、装卸、安装、调试、配合费、保质期内的服务、利润、税金和承担的风险等一切可能产生的费用。</w:t>
      </w:r>
    </w:p>
    <w:p>
      <w:pPr>
        <w:ind w:firstLine="480"/>
        <w:rPr>
          <w:rFonts w:ascii="宋体" w:hAnsi="宋体"/>
          <w:sz w:val="24"/>
        </w:rPr>
      </w:pPr>
    </w:p>
    <w:p>
      <w:pPr>
        <w:ind w:firstLine="480"/>
        <w:rPr>
          <w:rFonts w:ascii="宋体" w:hAnsi="宋体"/>
          <w:sz w:val="24"/>
        </w:rPr>
      </w:pPr>
    </w:p>
    <w:p>
      <w:pPr>
        <w:spacing w:line="340" w:lineRule="exact"/>
        <w:ind w:firstLine="480" w:firstLineChars="200"/>
        <w:rPr>
          <w:rFonts w:ascii="宋体" w:hAnsi="宋体" w:cs="华文楷体"/>
          <w:color w:val="000000"/>
          <w:sz w:val="24"/>
        </w:rPr>
      </w:pPr>
    </w:p>
    <w:p>
      <w:pPr>
        <w:spacing w:line="340" w:lineRule="exact"/>
        <w:ind w:firstLine="480" w:firstLineChars="200"/>
        <w:rPr>
          <w:rFonts w:ascii="宋体" w:hAnsi="宋体" w:cs="华文楷体"/>
          <w:color w:val="000000"/>
          <w:sz w:val="24"/>
          <w:u w:val="single"/>
        </w:rPr>
      </w:pPr>
      <w:r>
        <w:rPr>
          <w:rFonts w:hint="eastAsia" w:ascii="宋体" w:hAnsi="宋体" w:cs="华文楷体"/>
          <w:color w:val="000000"/>
          <w:sz w:val="24"/>
        </w:rPr>
        <w:t>投标人：</w:t>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u w:val="single"/>
        </w:rPr>
        <w:t xml:space="preserve">                  （公章）</w:t>
      </w:r>
    </w:p>
    <w:p>
      <w:pPr>
        <w:spacing w:line="340" w:lineRule="exact"/>
        <w:ind w:firstLine="480" w:firstLineChars="200"/>
        <w:rPr>
          <w:rFonts w:ascii="宋体" w:hAnsi="宋体" w:cs="华文楷体"/>
          <w:color w:val="000000"/>
          <w:sz w:val="24"/>
          <w:u w:val="single"/>
        </w:rPr>
      </w:pP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投标人代表签字：</w:t>
      </w:r>
    </w:p>
    <w:p>
      <w:pPr>
        <w:spacing w:line="340" w:lineRule="exact"/>
        <w:ind w:firstLine="4560" w:firstLineChars="1900"/>
        <w:rPr>
          <w:rFonts w:ascii="宋体" w:hAnsi="宋体" w:cs="华文楷体"/>
          <w:color w:val="000000"/>
          <w:sz w:val="24"/>
        </w:rPr>
      </w:pPr>
    </w:p>
    <w:p>
      <w:pPr>
        <w:spacing w:line="340" w:lineRule="exact"/>
        <w:ind w:firstLine="4560" w:firstLineChars="1900"/>
        <w:rPr>
          <w:rFonts w:ascii="宋体" w:hAnsi="宋体" w:cs="华文楷体"/>
          <w:color w:val="000000"/>
        </w:rPr>
      </w:pPr>
      <w:r>
        <w:rPr>
          <w:rFonts w:hint="eastAsia" w:ascii="宋体" w:hAnsi="宋体" w:cs="华文楷体"/>
          <w:color w:val="000000"/>
          <w:sz w:val="24"/>
        </w:rPr>
        <w:t>日期</w:t>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rPr>
        <w:t xml:space="preserve">    年    月    日</w:t>
      </w:r>
    </w:p>
    <w:p>
      <w:pPr>
        <w:ind w:firstLine="480"/>
        <w:rPr>
          <w:rFonts w:ascii="宋体" w:hAnsi="宋体"/>
          <w:sz w:val="24"/>
        </w:rPr>
      </w:pPr>
    </w:p>
    <w:p>
      <w:pPr>
        <w:jc w:val="left"/>
        <w:rPr>
          <w:rFonts w:ascii="宋体" w:hAnsi="宋体"/>
          <w:b/>
          <w:bCs/>
          <w:kern w:val="0"/>
          <w:sz w:val="24"/>
        </w:rPr>
      </w:pPr>
      <w:r>
        <w:rPr>
          <w:rFonts w:ascii="宋体" w:hAnsi="宋体"/>
          <w:b/>
          <w:bCs/>
          <w:kern w:val="0"/>
          <w:sz w:val="24"/>
        </w:rPr>
        <w:br w:type="page"/>
      </w:r>
    </w:p>
    <w:p>
      <w:pPr>
        <w:jc w:val="left"/>
        <w:rPr>
          <w:rFonts w:ascii="宋体" w:hAnsi="宋体"/>
          <w:b/>
          <w:bCs/>
          <w:kern w:val="0"/>
          <w:sz w:val="24"/>
        </w:rPr>
      </w:pPr>
      <w:r>
        <w:rPr>
          <w:rFonts w:hint="eastAsia" w:ascii="宋体" w:hAnsi="宋体"/>
          <w:b/>
          <w:bCs/>
          <w:kern w:val="0"/>
          <w:sz w:val="24"/>
        </w:rPr>
        <w:t>(三)法定代表人授权委托书</w:t>
      </w:r>
      <w:bookmarkEnd w:id="1"/>
      <w:bookmarkEnd w:id="2"/>
      <w:bookmarkEnd w:id="3"/>
      <w:bookmarkEnd w:id="4"/>
      <w:bookmarkEnd w:id="5"/>
      <w:bookmarkEnd w:id="6"/>
    </w:p>
    <w:p>
      <w:pPr>
        <w:rPr>
          <w:rFonts w:ascii="宋体" w:hAnsi="宋体"/>
          <w:sz w:val="24"/>
        </w:rPr>
      </w:pPr>
      <w:r>
        <w:rPr>
          <w:rFonts w:hint="eastAsia" w:ascii="宋体" w:hAnsi="宋体"/>
          <w:sz w:val="24"/>
          <w:u w:val="single"/>
        </w:rPr>
        <w:t>江苏师范大学科文学院</w:t>
      </w:r>
      <w:r>
        <w:rPr>
          <w:rFonts w:hint="eastAsia" w:ascii="宋体" w:hAnsi="宋体"/>
          <w:sz w:val="24"/>
        </w:rPr>
        <w:t>：</w:t>
      </w:r>
    </w:p>
    <w:p>
      <w:pPr>
        <w:ind w:firstLine="480" w:firstLineChars="200"/>
        <w:rPr>
          <w:rFonts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ascii="宋体" w:hAnsi="宋体"/>
          <w:sz w:val="24"/>
        </w:rPr>
      </w:pPr>
      <w:r>
        <w:rPr>
          <w:rFonts w:hint="eastAsia" w:ascii="宋体" w:hAnsi="宋体"/>
          <w:sz w:val="24"/>
        </w:rPr>
        <w:t>本授权书于    年  月  日签字生效，特此声明。</w:t>
      </w:r>
    </w:p>
    <w:p>
      <w:pPr>
        <w:ind w:firstLine="480" w:firstLineChars="200"/>
        <w:rPr>
          <w:rFonts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ascii="宋体" w:hAnsi="宋体"/>
          <w:sz w:val="24"/>
        </w:rPr>
      </w:pPr>
      <w:r>
        <w:rPr>
          <w:rFonts w:hint="eastAsia"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3" name="文本框 3"/>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59264;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BKu3OnCwIAADcEAAAOAAAAAAAAAAEA&#10;IAAAACcBAABkcnMvZTJvRG9jLnhtbFBLBQYAAAAABgAGAFkBAACkBQ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ascii="宋体" w:hAnsi="宋体"/>
          <w:sz w:val="24"/>
        </w:rPr>
      </w:pPr>
    </w:p>
    <w:p>
      <w:pPr>
        <w:ind w:firstLine="6240" w:firstLineChars="2600"/>
        <w:rPr>
          <w:rFonts w:ascii="宋体" w:hAnsi="宋体"/>
          <w:sz w:val="24"/>
        </w:rPr>
      </w:pPr>
    </w:p>
    <w:p>
      <w:pPr>
        <w:ind w:firstLine="6240" w:firstLineChars="2600"/>
        <w:rPr>
          <w:rFonts w:ascii="宋体" w:hAnsi="宋体"/>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5" name="文本框 5"/>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0288;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eQm2QAAAAkBAAAPAAAAAAAAAAEAIAAA&#10;ACIAAABkcnMvZG93bnJldi54bWxQSwECFAAUAAAACACHTuJAAX4lswsCAAA3BAAADgAAAAAAAAAB&#10;ACAAAAAoAQAAZHJzL2Uyb0RvYy54bWxQSwUGAAAAAAYABgBZAQAApQU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bookmarkStart w:id="7" w:name="_Toc86202638"/>
      <w:r>
        <w:rPr>
          <w:rFonts w:hint="eastAsia" w:ascii="宋体" w:hAnsi="宋体"/>
          <w:b/>
          <w:sz w:val="24"/>
        </w:rPr>
        <w:t>（四）承诺书</w:t>
      </w:r>
    </w:p>
    <w:p>
      <w:pPr>
        <w:jc w:val="left"/>
        <w:rPr>
          <w:rFonts w:ascii="宋体" w:hAnsi="宋体"/>
          <w:sz w:val="24"/>
        </w:rPr>
      </w:pPr>
      <w:r>
        <w:rPr>
          <w:rFonts w:hint="eastAsia" w:ascii="宋体" w:hAnsi="宋体"/>
          <w:sz w:val="24"/>
        </w:rPr>
        <w:t>致江苏师范大学科文学院：</w:t>
      </w:r>
    </w:p>
    <w:p>
      <w:pPr>
        <w:jc w:val="left"/>
        <w:rPr>
          <w:rFonts w:ascii="宋体" w:hAnsi="宋体"/>
          <w:sz w:val="24"/>
        </w:rPr>
      </w:pPr>
    </w:p>
    <w:p>
      <w:pPr>
        <w:ind w:firstLine="480" w:firstLineChars="200"/>
        <w:jc w:val="left"/>
        <w:rPr>
          <w:rFonts w:ascii="宋体" w:hAnsi="宋体"/>
          <w:sz w:val="24"/>
        </w:rPr>
      </w:pPr>
      <w:r>
        <w:rPr>
          <w:rFonts w:hint="eastAsia" w:ascii="宋体" w:hAnsi="宋体"/>
          <w:sz w:val="24"/>
        </w:rPr>
        <w:t>我单位符合《中华人民共和国政府采购法》第二十二条的规定，符合本项目相关资质要求。</w:t>
      </w:r>
    </w:p>
    <w:p>
      <w:pPr>
        <w:ind w:firstLine="480" w:firstLineChars="200"/>
        <w:jc w:val="left"/>
        <w:rPr>
          <w:rFonts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ascii="宋体" w:hAnsi="宋体"/>
          <w:sz w:val="24"/>
        </w:rPr>
      </w:pPr>
      <w:r>
        <w:rPr>
          <w:rFonts w:hint="eastAsia" w:ascii="宋体" w:hAnsi="宋体"/>
          <w:sz w:val="24"/>
        </w:rPr>
        <w:t xml:space="preserve">我单位兹宣布同意如下: </w:t>
      </w:r>
    </w:p>
    <w:p>
      <w:pPr>
        <w:ind w:firstLine="480" w:firstLineChars="200"/>
        <w:jc w:val="left"/>
        <w:rPr>
          <w:rFonts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ascii="宋体" w:hAnsi="宋体"/>
          <w:sz w:val="24"/>
        </w:rPr>
      </w:pPr>
      <w:r>
        <w:rPr>
          <w:rFonts w:hint="eastAsia" w:ascii="宋体" w:hAnsi="宋体"/>
          <w:sz w:val="24"/>
        </w:rPr>
        <w:t>三、已详细审核采购文件（含采购文件的澄清或者修改），完全理解并同意放弃对这方面不明及误解的权利。</w:t>
      </w:r>
    </w:p>
    <w:p>
      <w:pPr>
        <w:ind w:firstLine="480" w:firstLineChars="200"/>
        <w:jc w:val="left"/>
        <w:rPr>
          <w:rFonts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（五）无重大违法记录的书面声明</w:t>
      </w:r>
    </w:p>
    <w:p>
      <w:pPr>
        <w:ind w:firstLine="480" w:firstLineChars="200"/>
        <w:jc w:val="left"/>
        <w:rPr>
          <w:rFonts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rPr>
          <w:rFonts w:ascii="宋体" w:hAnsi="宋体"/>
          <w:b/>
          <w:bCs/>
          <w:kern w:val="0"/>
          <w:sz w:val="24"/>
        </w:rPr>
      </w:pPr>
      <w:r>
        <w:rPr>
          <w:rFonts w:hint="eastAsia" w:ascii="宋体" w:hAnsi="宋体"/>
          <w:b/>
          <w:sz w:val="24"/>
        </w:rPr>
        <w:t>（六）</w:t>
      </w:r>
      <w:r>
        <w:rPr>
          <w:rFonts w:hint="eastAsia" w:ascii="宋体" w:hAnsi="宋体"/>
          <w:b/>
          <w:bCs/>
          <w:kern w:val="0"/>
          <w:sz w:val="24"/>
        </w:rPr>
        <w:t>商务与技术条款偏离表</w:t>
      </w:r>
    </w:p>
    <w:p>
      <w:pPr>
        <w:ind w:left="472" w:hanging="472" w:hangingChars="196"/>
        <w:rPr>
          <w:rFonts w:ascii="宋体" w:hAnsi="宋体"/>
          <w:b/>
          <w:sz w:val="24"/>
        </w:rPr>
      </w:pPr>
      <w:r>
        <w:rPr>
          <w:rFonts w:hint="eastAsia" w:ascii="宋体" w:hAnsi="宋体"/>
          <w:b/>
          <w:sz w:val="24"/>
        </w:rPr>
        <w:t xml:space="preserve">  </w:t>
      </w:r>
    </w:p>
    <w:tbl>
      <w:tblPr>
        <w:tblStyle w:val="10"/>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9"/>
        <w:spacing w:after="0"/>
        <w:ind w:firstLine="0" w:firstLineChars="0"/>
        <w:rPr>
          <w:rFonts w:ascii="宋体" w:hAnsi="宋体" w:eastAsia="宋体"/>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投标人：</w:t>
      </w:r>
      <w:r>
        <w:rPr>
          <w:rFonts w:ascii="宋体" w:hAnsi="宋体" w:eastAsia="宋体" w:cs="宋体"/>
          <w:color w:val="000000"/>
          <w:kern w:val="0"/>
          <w:sz w:val="24"/>
          <w:szCs w:val="24"/>
          <w:u w:val="single"/>
        </w:rPr>
        <w:t xml:space="preserve">   </w:t>
      </w:r>
      <w:r>
        <w:rPr>
          <w:rFonts w:ascii="宋体" w:hAnsi="宋体" w:eastAsia="宋体" w:cs="宋体"/>
          <w:color w:val="000000"/>
          <w:spacing w:val="14"/>
          <w:kern w:val="0"/>
          <w:sz w:val="24"/>
          <w:szCs w:val="24"/>
          <w:u w:val="single"/>
        </w:rPr>
        <w:t xml:space="preserve">（单位全称） （盖章）   </w:t>
      </w:r>
      <w:r>
        <w:rPr>
          <w:rFonts w:ascii="宋体" w:hAnsi="宋体" w:eastAsia="宋体" w:cs="宋体"/>
          <w:color w:val="000000"/>
          <w:sz w:val="24"/>
          <w:szCs w:val="24"/>
        </w:rPr>
        <w:t xml:space="preserve"> </w:t>
      </w:r>
    </w:p>
    <w:p>
      <w:pPr>
        <w:pStyle w:val="9"/>
        <w:spacing w:after="0"/>
        <w:ind w:firstLine="0" w:firstLineChars="0"/>
        <w:rPr>
          <w:rFonts w:ascii="宋体" w:hAnsi="宋体" w:eastAsia="宋体"/>
          <w:sz w:val="24"/>
          <w:szCs w:val="24"/>
        </w:rPr>
      </w:pPr>
      <w:r>
        <w:rPr>
          <w:rFonts w:hint="eastAsia" w:ascii="宋体" w:hAnsi="宋体" w:eastAsia="宋体"/>
          <w:sz w:val="24"/>
          <w:szCs w:val="24"/>
        </w:rPr>
        <w:t>投标人代表签字：___________________</w:t>
      </w:r>
    </w:p>
    <w:p>
      <w:pPr>
        <w:rPr>
          <w:rFonts w:ascii="宋体" w:hAnsi="宋体"/>
          <w:b/>
          <w:sz w:val="24"/>
        </w:rPr>
      </w:pPr>
      <w:r>
        <w:rPr>
          <w:rFonts w:hint="eastAsia" w:ascii="宋体" w:hAnsi="宋体"/>
          <w:sz w:val="24"/>
        </w:rPr>
        <w:t>日期：</w:t>
      </w:r>
      <w:r>
        <w:rPr>
          <w:rFonts w:hint="eastAsia" w:ascii="宋体" w:hAnsi="宋体"/>
          <w:sz w:val="24"/>
          <w:u w:val="single"/>
        </w:rPr>
        <w:t xml:space="preserve">          </w:t>
      </w:r>
    </w:p>
    <w:p>
      <w:pPr>
        <w:pStyle w:val="9"/>
        <w:spacing w:after="0"/>
        <w:ind w:firstLine="0" w:firstLineChars="0"/>
        <w:rPr>
          <w:rFonts w:ascii="宋体" w:hAnsi="宋体" w:eastAsia="宋体"/>
          <w:b/>
          <w:sz w:val="24"/>
          <w:szCs w:val="24"/>
        </w:rPr>
      </w:pPr>
    </w:p>
    <w:p>
      <w:pPr>
        <w:pStyle w:val="9"/>
        <w:spacing w:after="0"/>
        <w:ind w:firstLine="0" w:firstLineChars="0"/>
        <w:rPr>
          <w:rFonts w:ascii="宋体" w:hAnsi="宋体" w:eastAsia="宋体"/>
          <w:b/>
          <w:sz w:val="24"/>
          <w:szCs w:val="24"/>
        </w:rPr>
      </w:pPr>
      <w:r>
        <w:rPr>
          <w:rFonts w:hint="eastAsia" w:ascii="宋体" w:hAnsi="宋体" w:eastAsia="宋体"/>
          <w:b/>
          <w:sz w:val="24"/>
          <w:szCs w:val="24"/>
        </w:rPr>
        <w:t>（七）</w:t>
      </w:r>
      <w:bookmarkEnd w:id="7"/>
      <w:bookmarkStart w:id="8" w:name="_Toc86202650"/>
      <w:r>
        <w:rPr>
          <w:rFonts w:hint="eastAsia" w:ascii="宋体" w:hAnsi="宋体" w:eastAsia="宋体"/>
          <w:b/>
          <w:sz w:val="24"/>
          <w:szCs w:val="24"/>
        </w:rPr>
        <w:t>业绩一览表</w:t>
      </w:r>
    </w:p>
    <w:tbl>
      <w:tblPr>
        <w:tblStyle w:val="10"/>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185"/>
        <w:gridCol w:w="1832"/>
        <w:gridCol w:w="1984"/>
        <w:gridCol w:w="2499"/>
        <w:gridCol w:w="155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r>
              <w:rPr>
                <w:rFonts w:hint="eastAsia" w:ascii="宋体" w:hAnsi="宋体"/>
                <w:sz w:val="24"/>
              </w:rPr>
              <w:t>起止时间</w:t>
            </w:r>
          </w:p>
        </w:tc>
        <w:tc>
          <w:tcPr>
            <w:tcW w:w="1832" w:type="dxa"/>
            <w:tcBorders>
              <w:top w:val="single" w:color="000000" w:sz="4" w:space="0"/>
              <w:bottom w:val="single" w:color="000000" w:sz="4" w:space="0"/>
            </w:tcBorders>
          </w:tcPr>
          <w:p>
            <w:pPr>
              <w:rPr>
                <w:rFonts w:ascii="宋体" w:hAnsi="宋体"/>
                <w:sz w:val="24"/>
              </w:rPr>
            </w:pPr>
            <w:r>
              <w:rPr>
                <w:rFonts w:hint="eastAsia" w:ascii="宋体" w:hAnsi="宋体"/>
                <w:sz w:val="24"/>
              </w:rPr>
              <w:t>项目名称</w:t>
            </w:r>
          </w:p>
        </w:tc>
        <w:tc>
          <w:tcPr>
            <w:tcW w:w="1984"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r>
              <w:rPr>
                <w:rFonts w:hint="eastAsia" w:ascii="宋体" w:hAnsi="宋体"/>
                <w:sz w:val="24"/>
              </w:rPr>
              <w:t>采购单位</w:t>
            </w:r>
          </w:p>
        </w:tc>
        <w:tc>
          <w:tcPr>
            <w:tcW w:w="2499" w:type="dxa"/>
            <w:tcBorders>
              <w:top w:val="single" w:color="000000" w:sz="4" w:space="0"/>
              <w:bottom w:val="single" w:color="000000" w:sz="4" w:space="0"/>
            </w:tcBorders>
          </w:tcPr>
          <w:p>
            <w:pPr>
              <w:rPr>
                <w:rFonts w:ascii="宋体" w:hAnsi="宋体"/>
                <w:sz w:val="24"/>
              </w:rPr>
            </w:pPr>
            <w:r>
              <w:rPr>
                <w:rFonts w:hint="eastAsia" w:ascii="宋体" w:hAnsi="宋体"/>
                <w:sz w:val="24"/>
              </w:rPr>
              <w:t>采购单位联系人及电话</w:t>
            </w:r>
          </w:p>
        </w:tc>
        <w:tc>
          <w:tcPr>
            <w:tcW w:w="1559"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r>
              <w:rPr>
                <w:rFonts w:hint="eastAsia" w:ascii="宋体" w:hAnsi="宋体"/>
                <w:sz w:val="24"/>
              </w:rPr>
              <w:t>中标额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tcPr>
          <w:p>
            <w:pPr>
              <w:rPr>
                <w:rFonts w:ascii="宋体" w:hAnsi="宋体"/>
                <w:sz w:val="24"/>
              </w:rPr>
            </w:pPr>
            <w:r>
              <w:rPr>
                <w:rFonts w:ascii="宋体" w:hAnsi="宋体" w:cs="Calibri"/>
                <w:sz w:val="24"/>
              </w:rPr>
              <w:t> </w:t>
            </w:r>
          </w:p>
        </w:tc>
        <w:tc>
          <w:tcPr>
            <w:tcW w:w="1832" w:type="dxa"/>
          </w:tcPr>
          <w:p>
            <w:pPr>
              <w:rPr>
                <w:rFonts w:ascii="宋体" w:hAnsi="宋体"/>
                <w:sz w:val="24"/>
              </w:rPr>
            </w:pPr>
            <w:r>
              <w:rPr>
                <w:rFonts w:ascii="宋体" w:hAnsi="宋体" w:cs="Calibri"/>
                <w:sz w:val="24"/>
              </w:rPr>
              <w:t> </w:t>
            </w:r>
          </w:p>
        </w:tc>
        <w:tc>
          <w:tcPr>
            <w:tcW w:w="1984" w:type="dxa"/>
            <w:tcBorders>
              <w:left w:val="single" w:color="000000" w:sz="4" w:space="0"/>
              <w:right w:val="single" w:color="000000" w:sz="4" w:space="0"/>
            </w:tcBorders>
          </w:tcPr>
          <w:p>
            <w:pPr>
              <w:rPr>
                <w:rFonts w:ascii="宋体" w:hAnsi="宋体"/>
                <w:sz w:val="24"/>
              </w:rPr>
            </w:pPr>
            <w:r>
              <w:rPr>
                <w:rFonts w:ascii="宋体" w:hAnsi="宋体" w:cs="Calibri"/>
                <w:sz w:val="24"/>
              </w:rPr>
              <w:t> </w:t>
            </w:r>
          </w:p>
        </w:tc>
        <w:tc>
          <w:tcPr>
            <w:tcW w:w="2499" w:type="dxa"/>
          </w:tcPr>
          <w:p>
            <w:pPr>
              <w:rPr>
                <w:rFonts w:ascii="宋体" w:hAnsi="宋体"/>
                <w:sz w:val="24"/>
              </w:rPr>
            </w:pPr>
            <w:r>
              <w:rPr>
                <w:rFonts w:ascii="宋体" w:hAnsi="宋体" w:cs="Calibri"/>
                <w:sz w:val="24"/>
              </w:rPr>
              <w:t> </w:t>
            </w:r>
          </w:p>
        </w:tc>
        <w:tc>
          <w:tcPr>
            <w:tcW w:w="1559" w:type="dxa"/>
            <w:tcBorders>
              <w:left w:val="single" w:color="000000" w:sz="4" w:space="0"/>
              <w:right w:val="single" w:color="000000" w:sz="4" w:space="0"/>
            </w:tcBorders>
          </w:tcPr>
          <w:p>
            <w:pPr>
              <w:rPr>
                <w:rFonts w:ascii="宋体" w:hAnsi="宋体"/>
                <w:sz w:val="24"/>
              </w:rPr>
            </w:pPr>
            <w:r>
              <w:rPr>
                <w:rFonts w:ascii="宋体" w:hAnsi="宋体" w:cs="Calibri"/>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r>
              <w:rPr>
                <w:rFonts w:ascii="宋体" w:hAnsi="宋体" w:cs="Calibri"/>
                <w:sz w:val="24"/>
              </w:rPr>
              <w:t> </w:t>
            </w:r>
          </w:p>
        </w:tc>
        <w:tc>
          <w:tcPr>
            <w:tcW w:w="1832" w:type="dxa"/>
            <w:tcBorders>
              <w:top w:val="single" w:color="000000" w:sz="4" w:space="0"/>
              <w:bottom w:val="single" w:color="000000" w:sz="4" w:space="0"/>
            </w:tcBorders>
          </w:tcPr>
          <w:p>
            <w:pPr>
              <w:rPr>
                <w:rFonts w:ascii="宋体" w:hAnsi="宋体"/>
                <w:sz w:val="24"/>
              </w:rPr>
            </w:pPr>
            <w:r>
              <w:rPr>
                <w:rFonts w:ascii="宋体" w:hAnsi="宋体" w:cs="Calibri"/>
                <w:sz w:val="24"/>
              </w:rPr>
              <w:t> </w:t>
            </w:r>
          </w:p>
        </w:tc>
        <w:tc>
          <w:tcPr>
            <w:tcW w:w="1984"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r>
              <w:rPr>
                <w:rFonts w:ascii="宋体" w:hAnsi="宋体" w:cs="Calibri"/>
                <w:sz w:val="24"/>
              </w:rPr>
              <w:t> </w:t>
            </w:r>
          </w:p>
        </w:tc>
        <w:tc>
          <w:tcPr>
            <w:tcW w:w="2499" w:type="dxa"/>
            <w:tcBorders>
              <w:top w:val="single" w:color="000000" w:sz="4" w:space="0"/>
              <w:bottom w:val="single" w:color="000000" w:sz="4" w:space="0"/>
            </w:tcBorders>
          </w:tcPr>
          <w:p>
            <w:pPr>
              <w:rPr>
                <w:rFonts w:ascii="宋体" w:hAnsi="宋体"/>
                <w:sz w:val="24"/>
              </w:rPr>
            </w:pPr>
            <w:r>
              <w:rPr>
                <w:rFonts w:ascii="宋体" w:hAnsi="宋体" w:cs="Calibri"/>
                <w:sz w:val="24"/>
              </w:rPr>
              <w:t> </w:t>
            </w:r>
          </w:p>
        </w:tc>
        <w:tc>
          <w:tcPr>
            <w:tcW w:w="1559"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r>
              <w:rPr>
                <w:rFonts w:ascii="宋体" w:hAnsi="宋体" w:cs="Calibri"/>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tcPr>
          <w:p>
            <w:pPr>
              <w:rPr>
                <w:rFonts w:ascii="宋体" w:hAnsi="宋体"/>
                <w:sz w:val="24"/>
              </w:rPr>
            </w:pPr>
          </w:p>
        </w:tc>
        <w:tc>
          <w:tcPr>
            <w:tcW w:w="1832" w:type="dxa"/>
          </w:tcPr>
          <w:p>
            <w:pPr>
              <w:rPr>
                <w:rFonts w:ascii="宋体" w:hAnsi="宋体"/>
                <w:sz w:val="24"/>
              </w:rPr>
            </w:pPr>
          </w:p>
        </w:tc>
        <w:tc>
          <w:tcPr>
            <w:tcW w:w="1984" w:type="dxa"/>
            <w:tcBorders>
              <w:left w:val="single" w:color="000000" w:sz="4" w:space="0"/>
              <w:right w:val="single" w:color="000000" w:sz="4" w:space="0"/>
            </w:tcBorders>
          </w:tcPr>
          <w:p>
            <w:pPr>
              <w:rPr>
                <w:rFonts w:ascii="宋体" w:hAnsi="宋体"/>
                <w:sz w:val="24"/>
              </w:rPr>
            </w:pPr>
          </w:p>
        </w:tc>
        <w:tc>
          <w:tcPr>
            <w:tcW w:w="2499" w:type="dxa"/>
          </w:tcPr>
          <w:p>
            <w:pPr>
              <w:rPr>
                <w:rFonts w:ascii="宋体" w:hAnsi="宋体"/>
                <w:sz w:val="24"/>
              </w:rPr>
            </w:pPr>
          </w:p>
        </w:tc>
        <w:tc>
          <w:tcPr>
            <w:tcW w:w="1559" w:type="dxa"/>
            <w:tcBorders>
              <w:left w:val="single" w:color="000000" w:sz="4" w:space="0"/>
              <w:right w:val="single" w:color="000000" w:sz="4" w:space="0"/>
            </w:tcBorders>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p>
        </w:tc>
        <w:tc>
          <w:tcPr>
            <w:tcW w:w="1832" w:type="dxa"/>
            <w:tcBorders>
              <w:top w:val="single" w:color="000000" w:sz="4" w:space="0"/>
              <w:bottom w:val="single" w:color="000000" w:sz="4" w:space="0"/>
            </w:tcBorders>
          </w:tcPr>
          <w:p>
            <w:pPr>
              <w:rPr>
                <w:rFonts w:ascii="宋体" w:hAnsi="宋体"/>
                <w:sz w:val="24"/>
              </w:rPr>
            </w:pPr>
          </w:p>
        </w:tc>
        <w:tc>
          <w:tcPr>
            <w:tcW w:w="1984"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p>
        </w:tc>
        <w:tc>
          <w:tcPr>
            <w:tcW w:w="2499" w:type="dxa"/>
            <w:tcBorders>
              <w:top w:val="single" w:color="000000" w:sz="4" w:space="0"/>
              <w:bottom w:val="single" w:color="000000" w:sz="4" w:space="0"/>
            </w:tcBorders>
          </w:tcPr>
          <w:p>
            <w:pPr>
              <w:rPr>
                <w:rFonts w:ascii="宋体" w:hAnsi="宋体"/>
                <w:sz w:val="24"/>
              </w:rPr>
            </w:pPr>
          </w:p>
        </w:tc>
        <w:tc>
          <w:tcPr>
            <w:tcW w:w="1559" w:type="dxa"/>
            <w:tcBorders>
              <w:top w:val="single" w:color="000000" w:sz="4" w:space="0"/>
              <w:left w:val="single" w:color="000000" w:sz="4" w:space="0"/>
              <w:bottom w:val="single" w:color="000000" w:sz="4" w:space="0"/>
              <w:right w:val="single" w:color="000000" w:sz="4" w:space="0"/>
            </w:tcBorders>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tcPr>
          <w:p>
            <w:pPr>
              <w:rPr>
                <w:rFonts w:ascii="宋体" w:hAnsi="宋体"/>
                <w:sz w:val="24"/>
              </w:rPr>
            </w:pPr>
          </w:p>
        </w:tc>
        <w:tc>
          <w:tcPr>
            <w:tcW w:w="1832" w:type="dxa"/>
          </w:tcPr>
          <w:p>
            <w:pPr>
              <w:rPr>
                <w:rFonts w:ascii="宋体" w:hAnsi="宋体"/>
                <w:sz w:val="24"/>
              </w:rPr>
            </w:pPr>
          </w:p>
        </w:tc>
        <w:tc>
          <w:tcPr>
            <w:tcW w:w="1984" w:type="dxa"/>
            <w:tcBorders>
              <w:left w:val="single" w:color="000000" w:sz="4" w:space="0"/>
              <w:right w:val="single" w:color="000000" w:sz="4" w:space="0"/>
            </w:tcBorders>
          </w:tcPr>
          <w:p>
            <w:pPr>
              <w:rPr>
                <w:rFonts w:ascii="宋体" w:hAnsi="宋体"/>
                <w:sz w:val="24"/>
              </w:rPr>
            </w:pPr>
          </w:p>
        </w:tc>
        <w:tc>
          <w:tcPr>
            <w:tcW w:w="2499" w:type="dxa"/>
          </w:tcPr>
          <w:p>
            <w:pPr>
              <w:rPr>
                <w:rFonts w:ascii="宋体" w:hAnsi="宋体"/>
                <w:sz w:val="24"/>
              </w:rPr>
            </w:pPr>
          </w:p>
        </w:tc>
        <w:tc>
          <w:tcPr>
            <w:tcW w:w="1559" w:type="dxa"/>
            <w:tcBorders>
              <w:left w:val="single" w:color="000000" w:sz="4" w:space="0"/>
              <w:right w:val="single" w:color="000000" w:sz="4" w:space="0"/>
            </w:tcBorders>
          </w:tcPr>
          <w:p>
            <w:pPr>
              <w:rPr>
                <w:rFonts w:ascii="宋体" w:hAnsi="宋体"/>
                <w:sz w:val="24"/>
              </w:rPr>
            </w:pPr>
          </w:p>
        </w:tc>
      </w:tr>
    </w:tbl>
    <w:p>
      <w:pPr>
        <w:pStyle w:val="9"/>
        <w:spacing w:after="0"/>
        <w:ind w:firstLine="0" w:firstLineChars="0"/>
        <w:rPr>
          <w:rFonts w:ascii="宋体" w:hAnsi="宋体" w:eastAsia="宋体"/>
          <w:sz w:val="24"/>
          <w:szCs w:val="24"/>
          <w:u w:val="single"/>
        </w:rPr>
      </w:pPr>
    </w:p>
    <w:p>
      <w:pPr>
        <w:pStyle w:val="9"/>
        <w:spacing w:after="0"/>
        <w:ind w:firstLine="0" w:firstLineChars="0"/>
        <w:rPr>
          <w:rFonts w:ascii="宋体" w:hAnsi="宋体" w:eastAsia="宋体"/>
          <w:sz w:val="24"/>
          <w:szCs w:val="24"/>
          <w:u w:val="single"/>
        </w:rPr>
      </w:pPr>
    </w:p>
    <w:p>
      <w:pPr>
        <w:pStyle w:val="9"/>
        <w:spacing w:after="0"/>
        <w:ind w:firstLine="0" w:firstLineChars="0"/>
        <w:rPr>
          <w:rFonts w:ascii="宋体" w:hAnsi="宋体" w:eastAsia="宋体"/>
          <w:b/>
          <w:sz w:val="24"/>
          <w:szCs w:val="24"/>
        </w:rPr>
      </w:pPr>
      <w:r>
        <w:rPr>
          <w:rFonts w:hint="eastAsia" w:ascii="宋体" w:hAnsi="宋体" w:eastAsia="宋体"/>
          <w:b/>
          <w:sz w:val="24"/>
          <w:szCs w:val="24"/>
        </w:rPr>
        <w:t>（八）资格审查符合性审查材料索引表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ind w:firstLine="480" w:firstLineChars="200"/>
              <w:jc w:val="center"/>
              <w:rPr>
                <w:rFonts w:ascii="宋体" w:hAnsi="宋体" w:cs="楷体"/>
                <w:bCs/>
                <w:sz w:val="24"/>
              </w:rPr>
            </w:pPr>
            <w:r>
              <w:rPr>
                <w:rFonts w:hint="eastAsia" w:ascii="宋体" w:hAnsi="宋体" w:cs="楷体"/>
                <w:bCs/>
                <w:sz w:val="24"/>
              </w:rPr>
              <w:t>投标函</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sz w:val="24"/>
              </w:rPr>
              <w:t>法定代表人的授权委托书</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承诺书</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ind w:firstLine="480" w:firstLineChars="200"/>
              <w:jc w:val="center"/>
              <w:rPr>
                <w:rFonts w:ascii="宋体" w:hAnsi="宋体" w:cs="楷体"/>
                <w:bCs/>
                <w:sz w:val="24"/>
              </w:rPr>
            </w:pPr>
            <w:r>
              <w:rPr>
                <w:rFonts w:hint="eastAsia" w:ascii="宋体" w:hAnsi="宋体"/>
                <w:sz w:val="24"/>
              </w:rPr>
              <w:t>营业执照复印件</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信用证书或信用查询截图</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ind w:firstLine="480" w:firstLineChars="200"/>
              <w:jc w:val="center"/>
              <w:rPr>
                <w:rFonts w:ascii="宋体" w:hAnsi="宋体" w:cs="楷体"/>
                <w:bCs/>
                <w:sz w:val="24"/>
              </w:rPr>
            </w:pPr>
            <w:r>
              <w:rPr>
                <w:rFonts w:hint="eastAsia" w:ascii="宋体" w:hAnsi="宋体" w:cs="楷体"/>
                <w:bCs/>
                <w:sz w:val="24"/>
              </w:rPr>
              <w:t>企业、项目负责人相关证书复印件</w:t>
            </w:r>
          </w:p>
        </w:tc>
        <w:tc>
          <w:tcPr>
            <w:tcW w:w="2127" w:type="dxa"/>
            <w:vAlign w:val="center"/>
          </w:tcPr>
          <w:p>
            <w:pPr>
              <w:ind w:firstLine="480" w:firstLineChars="200"/>
              <w:rPr>
                <w:rFonts w:ascii="宋体" w:hAnsi="宋体" w:cs="楷体"/>
                <w:bCs/>
                <w:sz w:val="24"/>
              </w:rPr>
            </w:pPr>
            <w:r>
              <w:rPr>
                <w:rFonts w:hint="eastAsia" w:ascii="宋体" w:hAnsi="宋体" w:cs="楷体"/>
                <w:bCs/>
                <w:sz w:val="24"/>
              </w:rPr>
              <w:t>投标人资格条件中对企业、项目负责人资质（资格）有要求时须提供相关证书复印件，否则无须提供。</w:t>
            </w: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9</w:t>
            </w:r>
          </w:p>
        </w:tc>
        <w:tc>
          <w:tcPr>
            <w:tcW w:w="4770" w:type="dxa"/>
            <w:vAlign w:val="center"/>
          </w:tcPr>
          <w:p>
            <w:pPr>
              <w:ind w:firstLine="480" w:firstLineChars="200"/>
              <w:jc w:val="center"/>
              <w:rPr>
                <w:rFonts w:ascii="宋体" w:hAnsi="宋体" w:cs="楷体"/>
                <w:bCs/>
                <w:sz w:val="24"/>
              </w:rPr>
            </w:pPr>
            <w:r>
              <w:rPr>
                <w:rFonts w:hint="eastAsia" w:ascii="宋体" w:hAnsi="宋体" w:cs="楷体"/>
                <w:bCs/>
                <w:sz w:val="24"/>
              </w:rPr>
              <w:t>投标单位为投标代表缴纳社保证明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hint="default" w:ascii="宋体" w:hAnsi="宋体" w:eastAsia="宋体" w:cs="楷体"/>
                <w:bCs/>
                <w:sz w:val="24"/>
                <w:lang w:val="en-US" w:eastAsia="zh-CN"/>
              </w:rPr>
            </w:pPr>
            <w:r>
              <w:rPr>
                <w:rFonts w:hint="eastAsia" w:ascii="宋体" w:hAnsi="宋体" w:cs="楷体"/>
                <w:bCs/>
                <w:sz w:val="24"/>
                <w:lang w:val="en-US" w:eastAsia="zh-CN"/>
              </w:rPr>
              <w:t>10</w:t>
            </w:r>
          </w:p>
        </w:tc>
        <w:tc>
          <w:tcPr>
            <w:tcW w:w="4770" w:type="dxa"/>
            <w:vAlign w:val="center"/>
          </w:tcPr>
          <w:p>
            <w:pPr>
              <w:jc w:val="center"/>
              <w:rPr>
                <w:rFonts w:ascii="宋体" w:hAnsi="宋体" w:cs="楷体"/>
                <w:bCs/>
                <w:sz w:val="24"/>
              </w:rPr>
            </w:pPr>
            <w:r>
              <w:rPr>
                <w:rFonts w:hint="eastAsia" w:ascii="宋体" w:hAnsi="宋体"/>
                <w:b w:val="0"/>
                <w:bCs/>
                <w:sz w:val="24"/>
                <w:shd w:val="clear" w:color="auto" w:fill="auto"/>
              </w:rPr>
              <w:t>彩页说明书</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bl>
    <w:p>
      <w:pPr>
        <w:pStyle w:val="9"/>
        <w:spacing w:after="0"/>
        <w:ind w:firstLine="0" w:firstLineChars="0"/>
        <w:rPr>
          <w:rFonts w:ascii="宋体" w:hAnsi="宋体" w:eastAsia="宋体"/>
          <w:sz w:val="24"/>
          <w:szCs w:val="24"/>
        </w:rPr>
      </w:pPr>
    </w:p>
    <w:p>
      <w:pPr>
        <w:pStyle w:val="18"/>
        <w:spacing w:after="0"/>
        <w:ind w:firstLine="0" w:firstLineChars="0"/>
        <w:rPr>
          <w:rFonts w:ascii="宋体" w:hAnsi="宋体" w:eastAsia="宋体"/>
          <w:sz w:val="24"/>
          <w:szCs w:val="24"/>
        </w:rPr>
      </w:pPr>
      <w:r>
        <w:rPr>
          <w:rFonts w:hint="eastAsia" w:ascii="宋体" w:hAnsi="宋体" w:eastAsia="宋体"/>
          <w:sz w:val="24"/>
          <w:szCs w:val="24"/>
        </w:rPr>
        <w:t>注：</w:t>
      </w:r>
    </w:p>
    <w:p>
      <w:pPr>
        <w:pStyle w:val="18"/>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18"/>
        <w:spacing w:after="0"/>
        <w:ind w:firstLine="0" w:firstLineChars="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9"/>
        <w:spacing w:after="0"/>
        <w:ind w:firstLine="0" w:firstLineChars="0"/>
        <w:rPr>
          <w:rFonts w:ascii="宋体" w:hAnsi="宋体" w:eastAsia="宋体"/>
          <w:sz w:val="24"/>
          <w:szCs w:val="24"/>
        </w:rPr>
      </w:pPr>
    </w:p>
    <w:p>
      <w:pPr>
        <w:pStyle w:val="9"/>
        <w:spacing w:after="0"/>
        <w:ind w:firstLine="480" w:firstLineChars="200"/>
        <w:rPr>
          <w:rFonts w:ascii="宋体" w:hAnsi="宋体" w:eastAsia="宋体"/>
          <w:sz w:val="24"/>
          <w:szCs w:val="24"/>
        </w:rPr>
      </w:pPr>
      <w:r>
        <w:rPr>
          <w:rFonts w:hint="eastAsia" w:ascii="宋体" w:hAnsi="宋体" w:eastAsia="宋体"/>
          <w:sz w:val="24"/>
          <w:szCs w:val="24"/>
        </w:rPr>
        <w:t xml:space="preserve">                  </w:t>
      </w:r>
      <w:bookmarkEnd w:id="8"/>
    </w:p>
    <w:p>
      <w:pPr>
        <w:pStyle w:val="9"/>
        <w:spacing w:after="0"/>
        <w:ind w:firstLine="0" w:firstLineChars="0"/>
        <w:rPr>
          <w:rFonts w:ascii="宋体" w:hAnsi="宋体"/>
          <w:b/>
          <w:sz w:val="28"/>
          <w:szCs w:val="28"/>
        </w:rPr>
      </w:pPr>
      <w:r>
        <w:rPr>
          <w:rFonts w:ascii="宋体" w:hAnsi="宋体" w:eastAsia="宋体"/>
          <w:b/>
          <w:sz w:val="24"/>
          <w:szCs w:val="24"/>
        </w:rPr>
        <w:br w:type="page"/>
      </w:r>
      <w:r>
        <w:rPr>
          <w:rFonts w:hint="eastAsia" w:ascii="宋体" w:hAnsi="宋体"/>
          <w:b/>
          <w:sz w:val="28"/>
          <w:szCs w:val="28"/>
        </w:rPr>
        <w:t>评分办法</w:t>
      </w:r>
    </w:p>
    <w:tbl>
      <w:tblPr>
        <w:tblStyle w:val="10"/>
        <w:tblW w:w="97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397"/>
        <w:gridCol w:w="7121"/>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00" w:type="dxa"/>
            <w:tcMar>
              <w:top w:w="12" w:type="dxa"/>
              <w:left w:w="12" w:type="dxa"/>
              <w:right w:w="12"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序号</w:t>
            </w:r>
          </w:p>
        </w:tc>
        <w:tc>
          <w:tcPr>
            <w:tcW w:w="1397" w:type="dxa"/>
            <w:tcMar>
              <w:top w:w="12" w:type="dxa"/>
              <w:left w:w="12" w:type="dxa"/>
              <w:right w:w="12"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评分因素</w:t>
            </w:r>
          </w:p>
        </w:tc>
        <w:tc>
          <w:tcPr>
            <w:tcW w:w="7121" w:type="dxa"/>
            <w:tcMar>
              <w:top w:w="12" w:type="dxa"/>
              <w:left w:w="12" w:type="dxa"/>
              <w:right w:w="12"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评审标准</w:t>
            </w:r>
          </w:p>
        </w:tc>
        <w:tc>
          <w:tcPr>
            <w:tcW w:w="675" w:type="dxa"/>
            <w:tcMar>
              <w:top w:w="12" w:type="dxa"/>
              <w:left w:w="12" w:type="dxa"/>
              <w:right w:w="12"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600" w:type="dxa"/>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397" w:type="dxa"/>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价格分</w:t>
            </w:r>
          </w:p>
        </w:tc>
        <w:tc>
          <w:tcPr>
            <w:tcW w:w="7121" w:type="dxa"/>
            <w:tcMar>
              <w:top w:w="12" w:type="dxa"/>
              <w:left w:w="12" w:type="dxa"/>
              <w:right w:w="12"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rPr>
              <w:t>满足采购文件要求且投标价格最低的投标报价为评标基准价，其价格分为满分。其他投标人的价格分统一按照下列公式计算：投标报价得分=(投标报价／评标基准价)×</w:t>
            </w:r>
            <w:r>
              <w:rPr>
                <w:rFonts w:ascii="宋体" w:hAnsi="宋体" w:cs="宋体"/>
                <w:color w:val="auto"/>
                <w:kern w:val="0"/>
                <w:szCs w:val="21"/>
              </w:rPr>
              <w:t>3</w:t>
            </w:r>
            <w:r>
              <w:rPr>
                <w:rFonts w:hint="eastAsia" w:ascii="宋体" w:hAnsi="宋体" w:cs="宋体"/>
                <w:color w:val="auto"/>
                <w:kern w:val="0"/>
                <w:szCs w:val="21"/>
              </w:rPr>
              <w:t>0</w:t>
            </w:r>
          </w:p>
        </w:tc>
        <w:tc>
          <w:tcPr>
            <w:tcW w:w="675" w:type="dxa"/>
            <w:tcMar>
              <w:top w:w="12" w:type="dxa"/>
              <w:left w:w="12" w:type="dxa"/>
              <w:right w:w="12" w:type="dxa"/>
            </w:tcMar>
            <w:vAlign w:val="center"/>
          </w:tcPr>
          <w:p>
            <w:pPr>
              <w:widowControl/>
              <w:jc w:val="center"/>
              <w:textAlignment w:val="center"/>
              <w:rPr>
                <w:rFonts w:ascii="宋体" w:hAnsi="宋体" w:cs="宋体"/>
                <w:b/>
                <w:bCs w:val="0"/>
                <w:color w:val="auto"/>
                <w:szCs w:val="21"/>
              </w:rPr>
            </w:pPr>
            <w:r>
              <w:rPr>
                <w:rFonts w:ascii="宋体" w:hAnsi="宋体" w:cs="宋体"/>
                <w:b/>
                <w:bCs w:val="0"/>
                <w:color w:val="auto"/>
                <w:kern w:val="0"/>
                <w:szCs w:val="21"/>
              </w:rPr>
              <w:t>3</w:t>
            </w:r>
            <w:r>
              <w:rPr>
                <w:rFonts w:hint="eastAsia" w:ascii="宋体" w:hAnsi="宋体" w:cs="宋体"/>
                <w:b/>
                <w:bCs w:val="0"/>
                <w:color w:val="auto"/>
                <w:kern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600" w:type="dxa"/>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397" w:type="dxa"/>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企业规模、实力与资质</w:t>
            </w:r>
          </w:p>
        </w:tc>
        <w:tc>
          <w:tcPr>
            <w:tcW w:w="7121" w:type="dxa"/>
            <w:tcMar>
              <w:top w:w="12" w:type="dxa"/>
              <w:left w:w="12" w:type="dxa"/>
              <w:right w:w="12"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rPr>
              <w:t>综合考虑投标公司的规模、资金、实力、资质、信誉。优等的5分，良等的4分，一般的3分，其他的3分以下。</w:t>
            </w:r>
          </w:p>
        </w:tc>
        <w:tc>
          <w:tcPr>
            <w:tcW w:w="675" w:type="dxa"/>
            <w:noWrap/>
            <w:tcMar>
              <w:top w:w="12" w:type="dxa"/>
              <w:left w:w="12" w:type="dxa"/>
              <w:right w:w="12"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600" w:type="dxa"/>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397" w:type="dxa"/>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企业业绩与信誉</w:t>
            </w:r>
          </w:p>
        </w:tc>
        <w:tc>
          <w:tcPr>
            <w:tcW w:w="7121" w:type="dxa"/>
            <w:tcMar>
              <w:top w:w="12" w:type="dxa"/>
              <w:left w:w="12" w:type="dxa"/>
              <w:right w:w="12"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rPr>
              <w:t>投标文件中提供投标人自2017年1月1日以来类似项目业绩，优的5分，良的4分，一般的3分，其他的3分以下。（提供合同原件备查，否则不得分。）</w:t>
            </w:r>
          </w:p>
        </w:tc>
        <w:tc>
          <w:tcPr>
            <w:tcW w:w="675" w:type="dxa"/>
            <w:noWrap/>
            <w:tcMar>
              <w:top w:w="12" w:type="dxa"/>
              <w:left w:w="12" w:type="dxa"/>
              <w:right w:w="12"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600" w:type="dxa"/>
            <w:noWrap/>
            <w:tcMar>
              <w:top w:w="12" w:type="dxa"/>
              <w:left w:w="12" w:type="dxa"/>
              <w:right w:w="12"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1397" w:type="dxa"/>
            <w:tcMar>
              <w:top w:w="12" w:type="dxa"/>
              <w:left w:w="12" w:type="dxa"/>
              <w:right w:w="12" w:type="dxa"/>
            </w:tcMar>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技术参数</w:t>
            </w:r>
            <w:bookmarkStart w:id="9" w:name="_GoBack"/>
            <w:bookmarkEnd w:id="9"/>
          </w:p>
        </w:tc>
        <w:tc>
          <w:tcPr>
            <w:tcW w:w="7121" w:type="dxa"/>
            <w:tcMar>
              <w:top w:w="12" w:type="dxa"/>
              <w:left w:w="12" w:type="dxa"/>
              <w:right w:w="12"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rPr>
              <w:t>对投标人选用的</w:t>
            </w:r>
            <w:r>
              <w:rPr>
                <w:rFonts w:hint="eastAsia" w:ascii="宋体" w:hAnsi="宋体" w:cs="宋体"/>
                <w:color w:val="auto"/>
                <w:kern w:val="0"/>
                <w:szCs w:val="21"/>
                <w:lang w:val="en-US" w:eastAsia="zh-CN"/>
              </w:rPr>
              <w:t>产品技术参数</w:t>
            </w:r>
            <w:r>
              <w:rPr>
                <w:rFonts w:hint="eastAsia" w:ascii="宋体" w:hAnsi="宋体" w:cs="宋体"/>
                <w:color w:val="auto"/>
                <w:kern w:val="0"/>
                <w:szCs w:val="21"/>
              </w:rPr>
              <w:t>等进行综合评分，</w:t>
            </w:r>
            <w:r>
              <w:rPr>
                <w:rFonts w:hint="eastAsia" w:ascii="宋体" w:hAnsi="宋体" w:cs="宋体"/>
                <w:color w:val="auto"/>
                <w:kern w:val="0"/>
                <w:szCs w:val="21"/>
                <w:lang w:val="en-US" w:eastAsia="zh-CN"/>
              </w:rPr>
              <w:t>完全符合</w:t>
            </w:r>
            <w:r>
              <w:rPr>
                <w:rFonts w:hint="eastAsia" w:ascii="宋体" w:hAnsi="宋体" w:cs="宋体"/>
                <w:color w:val="auto"/>
                <w:kern w:val="0"/>
                <w:szCs w:val="21"/>
              </w:rPr>
              <w:t>得</w:t>
            </w:r>
            <w:r>
              <w:rPr>
                <w:rFonts w:ascii="宋体" w:hAnsi="宋体" w:cs="宋体"/>
                <w:color w:val="auto"/>
                <w:kern w:val="0"/>
                <w:szCs w:val="21"/>
              </w:rPr>
              <w:t>17</w:t>
            </w:r>
            <w:r>
              <w:rPr>
                <w:rFonts w:hint="eastAsia" w:ascii="宋体" w:hAnsi="宋体" w:cs="宋体"/>
                <w:color w:val="auto"/>
                <w:kern w:val="0"/>
                <w:szCs w:val="21"/>
              </w:rPr>
              <w:t>-</w:t>
            </w:r>
            <w:r>
              <w:rPr>
                <w:rFonts w:ascii="宋体" w:hAnsi="宋体" w:cs="宋体"/>
                <w:color w:val="auto"/>
                <w:kern w:val="0"/>
                <w:szCs w:val="21"/>
              </w:rPr>
              <w:t>20</w:t>
            </w:r>
            <w:r>
              <w:rPr>
                <w:rFonts w:hint="eastAsia" w:ascii="宋体" w:hAnsi="宋体" w:cs="宋体"/>
                <w:color w:val="auto"/>
                <w:kern w:val="0"/>
                <w:szCs w:val="21"/>
              </w:rPr>
              <w:t>分，</w:t>
            </w:r>
            <w:r>
              <w:rPr>
                <w:rFonts w:hint="eastAsia" w:ascii="宋体" w:hAnsi="宋体" w:cs="宋体"/>
                <w:color w:val="auto"/>
                <w:kern w:val="0"/>
                <w:szCs w:val="21"/>
                <w:lang w:val="en-US" w:eastAsia="zh-CN"/>
              </w:rPr>
              <w:t>一般符合</w:t>
            </w:r>
            <w:r>
              <w:rPr>
                <w:rFonts w:hint="eastAsia" w:ascii="宋体" w:hAnsi="宋体" w:cs="宋体"/>
                <w:color w:val="auto"/>
                <w:kern w:val="0"/>
                <w:szCs w:val="21"/>
              </w:rPr>
              <w:t>得</w:t>
            </w:r>
            <w:r>
              <w:rPr>
                <w:rFonts w:ascii="宋体" w:hAnsi="宋体" w:cs="宋体"/>
                <w:color w:val="auto"/>
                <w:kern w:val="0"/>
                <w:szCs w:val="21"/>
              </w:rPr>
              <w:t>14</w:t>
            </w:r>
            <w:r>
              <w:rPr>
                <w:rFonts w:hint="eastAsia" w:ascii="宋体" w:hAnsi="宋体" w:cs="宋体"/>
                <w:color w:val="auto"/>
                <w:kern w:val="0"/>
                <w:szCs w:val="21"/>
              </w:rPr>
              <w:t>-</w:t>
            </w:r>
            <w:r>
              <w:rPr>
                <w:rFonts w:ascii="宋体" w:hAnsi="宋体" w:cs="宋体"/>
                <w:color w:val="auto"/>
                <w:kern w:val="0"/>
                <w:szCs w:val="21"/>
              </w:rPr>
              <w:t>16</w:t>
            </w:r>
            <w:r>
              <w:rPr>
                <w:rFonts w:hint="eastAsia" w:ascii="宋体" w:hAnsi="宋体" w:cs="宋体"/>
                <w:color w:val="auto"/>
                <w:kern w:val="0"/>
                <w:szCs w:val="21"/>
              </w:rPr>
              <w:t>分，</w:t>
            </w:r>
            <w:r>
              <w:rPr>
                <w:rFonts w:hint="eastAsia" w:ascii="宋体" w:hAnsi="宋体" w:cs="宋体"/>
                <w:color w:val="auto"/>
                <w:kern w:val="0"/>
                <w:szCs w:val="21"/>
                <w:lang w:val="en-US" w:eastAsia="zh-CN"/>
              </w:rPr>
              <w:t>基本符合</w:t>
            </w:r>
            <w:r>
              <w:rPr>
                <w:rFonts w:hint="eastAsia" w:ascii="宋体" w:hAnsi="宋体" w:cs="宋体"/>
                <w:color w:val="auto"/>
                <w:kern w:val="0"/>
                <w:szCs w:val="21"/>
              </w:rPr>
              <w:t>得</w:t>
            </w:r>
            <w:r>
              <w:rPr>
                <w:rFonts w:ascii="宋体" w:hAnsi="宋体" w:cs="宋体"/>
                <w:color w:val="auto"/>
                <w:kern w:val="0"/>
                <w:szCs w:val="21"/>
              </w:rPr>
              <w:t>12</w:t>
            </w:r>
            <w:r>
              <w:rPr>
                <w:rFonts w:hint="eastAsia" w:ascii="宋体" w:hAnsi="宋体" w:cs="宋体"/>
                <w:color w:val="auto"/>
                <w:kern w:val="0"/>
                <w:szCs w:val="21"/>
              </w:rPr>
              <w:t>-1</w:t>
            </w:r>
            <w:r>
              <w:rPr>
                <w:rFonts w:ascii="宋体" w:hAnsi="宋体" w:cs="宋体"/>
                <w:color w:val="auto"/>
                <w:kern w:val="0"/>
                <w:szCs w:val="21"/>
              </w:rPr>
              <w:t>5</w:t>
            </w:r>
            <w:r>
              <w:rPr>
                <w:rFonts w:hint="eastAsia" w:ascii="宋体" w:hAnsi="宋体" w:cs="宋体"/>
                <w:color w:val="auto"/>
                <w:kern w:val="0"/>
                <w:szCs w:val="21"/>
              </w:rPr>
              <w:t>分，其它</w:t>
            </w:r>
            <w:r>
              <w:rPr>
                <w:rFonts w:ascii="宋体" w:hAnsi="宋体" w:cs="宋体"/>
                <w:color w:val="auto"/>
                <w:kern w:val="0"/>
                <w:szCs w:val="21"/>
              </w:rPr>
              <w:t>12</w:t>
            </w:r>
            <w:r>
              <w:rPr>
                <w:rFonts w:hint="eastAsia" w:ascii="宋体" w:hAnsi="宋体" w:cs="宋体"/>
                <w:color w:val="auto"/>
                <w:kern w:val="0"/>
                <w:szCs w:val="21"/>
              </w:rPr>
              <w:t>分以下。</w:t>
            </w:r>
          </w:p>
        </w:tc>
        <w:tc>
          <w:tcPr>
            <w:tcW w:w="675" w:type="dxa"/>
            <w:noWrap/>
            <w:tcMar>
              <w:top w:w="12" w:type="dxa"/>
              <w:left w:w="12" w:type="dxa"/>
              <w:right w:w="12" w:type="dxa"/>
            </w:tcMar>
            <w:vAlign w:val="center"/>
          </w:tcPr>
          <w:p>
            <w:pPr>
              <w:widowControl/>
              <w:jc w:val="center"/>
              <w:textAlignment w:val="center"/>
              <w:rPr>
                <w:rFonts w:ascii="宋体" w:hAnsi="宋体" w:cs="宋体"/>
                <w:b/>
                <w:color w:val="000000"/>
                <w:szCs w:val="21"/>
              </w:rPr>
            </w:pPr>
            <w:r>
              <w:rPr>
                <w:rFonts w:ascii="宋体" w:hAnsi="宋体" w:cs="宋体"/>
                <w:b/>
                <w:color w:val="000000"/>
                <w:kern w:val="0"/>
                <w:szCs w:val="21"/>
              </w:rPr>
              <w:t>2</w:t>
            </w:r>
            <w:r>
              <w:rPr>
                <w:rFonts w:hint="eastAsia" w:ascii="宋体" w:hAnsi="宋体" w:cs="宋体"/>
                <w:b/>
                <w:color w:val="000000"/>
                <w:kern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600" w:type="dxa"/>
            <w:noWrap/>
            <w:tcMar>
              <w:top w:w="12" w:type="dxa"/>
              <w:left w:w="12" w:type="dxa"/>
              <w:right w:w="12" w:type="dxa"/>
            </w:tcMar>
            <w:vAlign w:val="center"/>
          </w:tcPr>
          <w:p>
            <w:pPr>
              <w:jc w:val="center"/>
              <w:rPr>
                <w:rFonts w:ascii="宋体" w:hAnsi="宋体" w:cs="宋体"/>
                <w:color w:val="000000"/>
                <w:szCs w:val="21"/>
              </w:rPr>
            </w:pPr>
            <w:r>
              <w:rPr>
                <w:rFonts w:hint="eastAsia" w:ascii="宋体" w:hAnsi="宋体" w:cs="宋体"/>
                <w:color w:val="000000"/>
                <w:szCs w:val="21"/>
              </w:rPr>
              <w:t>5</w:t>
            </w:r>
          </w:p>
        </w:tc>
        <w:tc>
          <w:tcPr>
            <w:tcW w:w="1397" w:type="dxa"/>
            <w:tcMar>
              <w:top w:w="12" w:type="dxa"/>
              <w:left w:w="12" w:type="dxa"/>
              <w:right w:w="12" w:type="dxa"/>
            </w:tcMar>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品牌及生产工艺</w:t>
            </w:r>
          </w:p>
        </w:tc>
        <w:tc>
          <w:tcPr>
            <w:tcW w:w="7121" w:type="dxa"/>
            <w:tcMar>
              <w:top w:w="12" w:type="dxa"/>
              <w:left w:w="12" w:type="dxa"/>
              <w:right w:w="12" w:type="dxa"/>
            </w:tcMar>
            <w:vAlign w:val="center"/>
          </w:tcPr>
          <w:p>
            <w:pPr>
              <w:widowControl/>
              <w:jc w:val="left"/>
              <w:textAlignment w:val="center"/>
              <w:rPr>
                <w:rFonts w:ascii="宋体" w:hAnsi="宋体" w:cs="宋体"/>
                <w:color w:val="auto"/>
                <w:kern w:val="0"/>
                <w:szCs w:val="21"/>
              </w:rPr>
            </w:pPr>
            <w:r>
              <w:rPr>
                <w:rFonts w:hint="eastAsia" w:ascii="宋体" w:hAnsi="宋体" w:cs="宋体"/>
                <w:color w:val="auto"/>
                <w:kern w:val="0"/>
                <w:szCs w:val="21"/>
              </w:rPr>
              <w:t>综合考虑所投产品的品牌、选型、生产工艺、质量等</w:t>
            </w:r>
            <w:r>
              <w:rPr>
                <w:rFonts w:hint="eastAsia" w:ascii="宋体" w:hAnsi="宋体" w:cs="宋体"/>
                <w:color w:val="auto"/>
                <w:kern w:val="0"/>
                <w:szCs w:val="21"/>
                <w:lang w:val="en-US" w:eastAsia="zh-CN"/>
              </w:rPr>
              <w:t>与</w:t>
            </w:r>
            <w:r>
              <w:rPr>
                <w:rFonts w:hint="eastAsia" w:ascii="宋体" w:hAnsi="宋体" w:cs="宋体"/>
                <w:color w:val="auto"/>
                <w:kern w:val="0"/>
                <w:szCs w:val="21"/>
              </w:rPr>
              <w:t>采购文件要求的满足程度进行打分。优得</w:t>
            </w:r>
            <w:r>
              <w:rPr>
                <w:rFonts w:ascii="宋体" w:hAnsi="宋体" w:cs="宋体"/>
                <w:color w:val="auto"/>
                <w:kern w:val="0"/>
                <w:szCs w:val="21"/>
              </w:rPr>
              <w:t>17</w:t>
            </w:r>
            <w:r>
              <w:rPr>
                <w:rFonts w:hint="eastAsia" w:ascii="宋体" w:hAnsi="宋体" w:cs="宋体"/>
                <w:color w:val="auto"/>
                <w:kern w:val="0"/>
                <w:szCs w:val="21"/>
              </w:rPr>
              <w:t>-</w:t>
            </w:r>
            <w:r>
              <w:rPr>
                <w:rFonts w:ascii="宋体" w:hAnsi="宋体" w:cs="宋体"/>
                <w:color w:val="auto"/>
                <w:kern w:val="0"/>
                <w:szCs w:val="21"/>
              </w:rPr>
              <w:t>20</w:t>
            </w:r>
            <w:r>
              <w:rPr>
                <w:rFonts w:hint="eastAsia" w:ascii="宋体" w:hAnsi="宋体" w:cs="宋体"/>
                <w:color w:val="auto"/>
                <w:kern w:val="0"/>
                <w:szCs w:val="21"/>
              </w:rPr>
              <w:t>分，良得</w:t>
            </w:r>
            <w:r>
              <w:rPr>
                <w:rFonts w:ascii="宋体" w:hAnsi="宋体" w:cs="宋体"/>
                <w:color w:val="auto"/>
                <w:kern w:val="0"/>
                <w:szCs w:val="21"/>
              </w:rPr>
              <w:t>14</w:t>
            </w:r>
            <w:r>
              <w:rPr>
                <w:rFonts w:hint="eastAsia" w:ascii="宋体" w:hAnsi="宋体" w:cs="宋体"/>
                <w:color w:val="auto"/>
                <w:kern w:val="0"/>
                <w:szCs w:val="21"/>
              </w:rPr>
              <w:t>-</w:t>
            </w:r>
            <w:r>
              <w:rPr>
                <w:rFonts w:ascii="宋体" w:hAnsi="宋体" w:cs="宋体"/>
                <w:color w:val="auto"/>
                <w:kern w:val="0"/>
                <w:szCs w:val="21"/>
              </w:rPr>
              <w:t>16</w:t>
            </w:r>
            <w:r>
              <w:rPr>
                <w:rFonts w:hint="eastAsia" w:ascii="宋体" w:hAnsi="宋体" w:cs="宋体"/>
                <w:color w:val="auto"/>
                <w:kern w:val="0"/>
                <w:szCs w:val="21"/>
              </w:rPr>
              <w:t>分，一般得</w:t>
            </w:r>
            <w:r>
              <w:rPr>
                <w:rFonts w:ascii="宋体" w:hAnsi="宋体" w:cs="宋体"/>
                <w:color w:val="auto"/>
                <w:kern w:val="0"/>
                <w:szCs w:val="21"/>
              </w:rPr>
              <w:t>12</w:t>
            </w:r>
            <w:r>
              <w:rPr>
                <w:rFonts w:hint="eastAsia" w:ascii="宋体" w:hAnsi="宋体" w:cs="宋体"/>
                <w:color w:val="auto"/>
                <w:kern w:val="0"/>
                <w:szCs w:val="21"/>
              </w:rPr>
              <w:t>-1</w:t>
            </w:r>
            <w:r>
              <w:rPr>
                <w:rFonts w:ascii="宋体" w:hAnsi="宋体" w:cs="宋体"/>
                <w:color w:val="auto"/>
                <w:kern w:val="0"/>
                <w:szCs w:val="21"/>
              </w:rPr>
              <w:t>5</w:t>
            </w:r>
            <w:r>
              <w:rPr>
                <w:rFonts w:hint="eastAsia" w:ascii="宋体" w:hAnsi="宋体" w:cs="宋体"/>
                <w:color w:val="auto"/>
                <w:kern w:val="0"/>
                <w:szCs w:val="21"/>
              </w:rPr>
              <w:t>分，其它</w:t>
            </w:r>
            <w:r>
              <w:rPr>
                <w:rFonts w:ascii="宋体" w:hAnsi="宋体" w:cs="宋体"/>
                <w:color w:val="auto"/>
                <w:kern w:val="0"/>
                <w:szCs w:val="21"/>
              </w:rPr>
              <w:t>12</w:t>
            </w:r>
            <w:r>
              <w:rPr>
                <w:rFonts w:hint="eastAsia" w:ascii="宋体" w:hAnsi="宋体" w:cs="宋体"/>
                <w:color w:val="auto"/>
                <w:kern w:val="0"/>
                <w:szCs w:val="21"/>
              </w:rPr>
              <w:t>分以下。</w:t>
            </w:r>
          </w:p>
        </w:tc>
        <w:tc>
          <w:tcPr>
            <w:tcW w:w="675" w:type="dxa"/>
            <w:noWrap/>
            <w:tcMar>
              <w:top w:w="12" w:type="dxa"/>
              <w:left w:w="12" w:type="dxa"/>
              <w:right w:w="12" w:type="dxa"/>
            </w:tcMar>
            <w:vAlign w:val="center"/>
          </w:tcPr>
          <w:p>
            <w:pPr>
              <w:widowControl/>
              <w:jc w:val="center"/>
              <w:textAlignment w:val="center"/>
              <w:rPr>
                <w:rFonts w:ascii="宋体" w:hAnsi="宋体" w:cs="宋体"/>
                <w:b/>
                <w:color w:val="000000"/>
                <w:kern w:val="0"/>
                <w:szCs w:val="21"/>
              </w:rPr>
            </w:pPr>
            <w:r>
              <w:rPr>
                <w:rFonts w:ascii="宋体" w:hAnsi="宋体" w:cs="宋体"/>
                <w:b/>
                <w:color w:val="000000"/>
                <w:kern w:val="0"/>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00" w:type="dxa"/>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1397" w:type="dxa"/>
            <w:tcMar>
              <w:top w:w="12" w:type="dxa"/>
              <w:left w:w="12" w:type="dxa"/>
              <w:right w:w="12" w:type="dxa"/>
            </w:tcMar>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安装方案与安装队伍</w:t>
            </w:r>
          </w:p>
        </w:tc>
        <w:tc>
          <w:tcPr>
            <w:tcW w:w="7121" w:type="dxa"/>
            <w:tcMar>
              <w:top w:w="12" w:type="dxa"/>
              <w:left w:w="12" w:type="dxa"/>
              <w:right w:w="12" w:type="dxa"/>
            </w:tcMar>
            <w:vAlign w:val="center"/>
          </w:tcPr>
          <w:p>
            <w:pPr>
              <w:widowControl/>
              <w:jc w:val="left"/>
              <w:textAlignment w:val="center"/>
              <w:rPr>
                <w:rFonts w:ascii="宋体" w:hAnsi="宋体" w:cs="宋体"/>
                <w:color w:val="auto"/>
                <w:kern w:val="0"/>
                <w:szCs w:val="21"/>
              </w:rPr>
            </w:pPr>
            <w:r>
              <w:rPr>
                <w:rFonts w:hint="eastAsia" w:ascii="宋体" w:hAnsi="宋体" w:cs="宋体"/>
                <w:color w:val="auto"/>
                <w:kern w:val="0"/>
                <w:szCs w:val="21"/>
              </w:rPr>
              <w:t>安装组织设计总体方案科学、合理、有针对性，对本项目施工中的重点和难点问题进行预测并提出合理解决办法；为本项目配备足够的专业安装人员。优得</w:t>
            </w:r>
            <w:r>
              <w:rPr>
                <w:rFonts w:ascii="宋体" w:hAnsi="宋体" w:cs="宋体"/>
                <w:color w:val="auto"/>
                <w:kern w:val="0"/>
                <w:szCs w:val="21"/>
              </w:rPr>
              <w:t>9</w:t>
            </w: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0分，良得</w:t>
            </w:r>
            <w:r>
              <w:rPr>
                <w:rFonts w:ascii="宋体" w:hAnsi="宋体" w:cs="宋体"/>
                <w:color w:val="auto"/>
                <w:kern w:val="0"/>
                <w:szCs w:val="21"/>
              </w:rPr>
              <w:t>7</w:t>
            </w:r>
            <w:r>
              <w:rPr>
                <w:rFonts w:hint="eastAsia" w:ascii="宋体" w:hAnsi="宋体" w:cs="宋体"/>
                <w:color w:val="auto"/>
                <w:kern w:val="0"/>
                <w:szCs w:val="21"/>
              </w:rPr>
              <w:t>-</w:t>
            </w:r>
            <w:r>
              <w:rPr>
                <w:rFonts w:ascii="宋体" w:hAnsi="宋体" w:cs="宋体"/>
                <w:color w:val="auto"/>
                <w:kern w:val="0"/>
                <w:szCs w:val="21"/>
              </w:rPr>
              <w:t>8</w:t>
            </w:r>
            <w:r>
              <w:rPr>
                <w:rFonts w:hint="eastAsia" w:ascii="宋体" w:hAnsi="宋体" w:cs="宋体"/>
                <w:color w:val="auto"/>
                <w:kern w:val="0"/>
                <w:szCs w:val="21"/>
              </w:rPr>
              <w:t>分，一般得</w:t>
            </w:r>
            <w:r>
              <w:rPr>
                <w:rFonts w:ascii="宋体" w:hAnsi="宋体" w:cs="宋体"/>
                <w:color w:val="auto"/>
                <w:kern w:val="0"/>
                <w:szCs w:val="21"/>
              </w:rPr>
              <w:t>6</w:t>
            </w:r>
            <w:r>
              <w:rPr>
                <w:rFonts w:hint="eastAsia" w:ascii="宋体" w:hAnsi="宋体" w:cs="宋体"/>
                <w:color w:val="auto"/>
                <w:kern w:val="0"/>
                <w:szCs w:val="21"/>
              </w:rPr>
              <w:t>分，其它的</w:t>
            </w:r>
            <w:r>
              <w:rPr>
                <w:rFonts w:ascii="宋体" w:hAnsi="宋体" w:cs="宋体"/>
                <w:color w:val="auto"/>
                <w:kern w:val="0"/>
                <w:szCs w:val="21"/>
              </w:rPr>
              <w:t>6</w:t>
            </w:r>
            <w:r>
              <w:rPr>
                <w:rFonts w:hint="eastAsia" w:ascii="宋体" w:hAnsi="宋体" w:cs="宋体"/>
                <w:color w:val="auto"/>
                <w:kern w:val="0"/>
                <w:szCs w:val="21"/>
              </w:rPr>
              <w:t>分以下。</w:t>
            </w:r>
          </w:p>
        </w:tc>
        <w:tc>
          <w:tcPr>
            <w:tcW w:w="675" w:type="dxa"/>
            <w:noWrap/>
            <w:tcMar>
              <w:top w:w="12" w:type="dxa"/>
              <w:left w:w="12" w:type="dxa"/>
              <w:right w:w="12" w:type="dxa"/>
            </w:tcMar>
            <w:vAlign w:val="center"/>
          </w:tcPr>
          <w:p>
            <w:pPr>
              <w:widowControl/>
              <w:jc w:val="center"/>
              <w:textAlignment w:val="center"/>
              <w:rPr>
                <w:rFonts w:ascii="宋体" w:hAnsi="宋体" w:cs="宋体"/>
                <w:b/>
                <w:color w:val="000000"/>
                <w:kern w:val="0"/>
                <w:szCs w:val="21"/>
              </w:rPr>
            </w:pPr>
            <w:r>
              <w:rPr>
                <w:rFonts w:ascii="宋体" w:hAnsi="宋体" w:cs="宋体"/>
                <w:b/>
                <w:color w:val="000000"/>
                <w:kern w:val="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00" w:type="dxa"/>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p>
        </w:tc>
        <w:tc>
          <w:tcPr>
            <w:tcW w:w="1397" w:type="dxa"/>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供货期</w:t>
            </w:r>
          </w:p>
        </w:tc>
        <w:tc>
          <w:tcPr>
            <w:tcW w:w="7121" w:type="dxa"/>
            <w:tcMar>
              <w:top w:w="12" w:type="dxa"/>
              <w:left w:w="12" w:type="dxa"/>
              <w:right w:w="12"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rPr>
              <w:t>工期安排科学、合理，施工进度计划和各阶段进度的保证措施清晰明了。优得5分，良得4分，一般得3分，其它的3分以下。</w:t>
            </w:r>
          </w:p>
        </w:tc>
        <w:tc>
          <w:tcPr>
            <w:tcW w:w="675" w:type="dxa"/>
            <w:noWrap/>
            <w:tcMar>
              <w:top w:w="12" w:type="dxa"/>
              <w:left w:w="12" w:type="dxa"/>
              <w:right w:w="12"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00" w:type="dxa"/>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397" w:type="dxa"/>
            <w:tcMar>
              <w:top w:w="12" w:type="dxa"/>
              <w:left w:w="12" w:type="dxa"/>
              <w:right w:w="12" w:type="dxa"/>
            </w:tcMar>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质保</w:t>
            </w:r>
          </w:p>
        </w:tc>
        <w:tc>
          <w:tcPr>
            <w:tcW w:w="7121" w:type="dxa"/>
            <w:tcMar>
              <w:top w:w="12" w:type="dxa"/>
              <w:left w:w="12" w:type="dxa"/>
              <w:right w:w="12" w:type="dxa"/>
            </w:tcMar>
            <w:vAlign w:val="center"/>
          </w:tcPr>
          <w:p>
            <w:pPr>
              <w:widowControl/>
              <w:jc w:val="left"/>
              <w:textAlignment w:val="center"/>
              <w:rPr>
                <w:rFonts w:ascii="宋体" w:hAnsi="宋体" w:cs="宋体"/>
                <w:color w:val="auto"/>
                <w:kern w:val="0"/>
                <w:szCs w:val="21"/>
              </w:rPr>
            </w:pPr>
            <w:r>
              <w:rPr>
                <w:rFonts w:hint="eastAsia" w:ascii="宋体" w:hAnsi="宋体" w:cs="宋体"/>
                <w:color w:val="auto"/>
                <w:kern w:val="0"/>
                <w:szCs w:val="21"/>
              </w:rPr>
              <w:t>质保期1年得1分，每增加1年得1分，最多得5分。</w:t>
            </w:r>
          </w:p>
        </w:tc>
        <w:tc>
          <w:tcPr>
            <w:tcW w:w="675" w:type="dxa"/>
            <w:noWrap/>
            <w:tcMar>
              <w:top w:w="12" w:type="dxa"/>
              <w:left w:w="12" w:type="dxa"/>
              <w:right w:w="12"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szCs w:val="21"/>
              </w:rPr>
              <w:t>5</w:t>
            </w:r>
          </w:p>
        </w:tc>
      </w:tr>
    </w:tbl>
    <w:p>
      <w:pPr>
        <w:pStyle w:val="14"/>
        <w:numPr>
          <w:ilvl w:val="0"/>
          <w:numId w:val="0"/>
        </w:numPr>
        <w:rPr>
          <w:sz w:val="22"/>
          <w:szCs w:val="28"/>
        </w:rPr>
      </w:pPr>
    </w:p>
    <w:p>
      <w:pPr>
        <w:pStyle w:val="14"/>
        <w:numPr>
          <w:ilvl w:val="0"/>
          <w:numId w:val="0"/>
        </w:numPr>
        <w:rPr>
          <w:sz w:val="22"/>
          <w:szCs w:val="28"/>
        </w:rPr>
      </w:pPr>
      <w:r>
        <w:rPr>
          <w:rFonts w:hint="eastAsia"/>
          <w:sz w:val="22"/>
          <w:szCs w:val="28"/>
        </w:rPr>
        <w:t>注：总分最高者为成交候选人；最高分相同时，价格分高者优先。</w:t>
      </w:r>
    </w:p>
    <w:p/>
    <w:sectPr>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fldChar w:fldCharType="begin"/>
    </w:r>
    <w:r>
      <w:rPr>
        <w:rStyle w:val="12"/>
      </w:rPr>
      <w:instrText xml:space="preserve">PAGE  </w:instrText>
    </w:r>
    <w:r>
      <w:fldChar w:fldCharType="separate"/>
    </w:r>
    <w:r>
      <w:rPr>
        <w:rStyle w:val="12"/>
      </w:rPr>
      <w:t>6</w:t>
    </w:r>
    <w:r>
      <w:fldChar w:fldCharType="end"/>
    </w:r>
  </w:p>
  <w:p>
    <w:pPr>
      <w:pStyle w:val="8"/>
      <w:ind w:right="360"/>
    </w:pPr>
    <w:r>
      <w:rPr>
        <w:rFonts w:hint="eastAsia" w:eastAsia="华文彩云"/>
      </w:rPr>
      <w:t xml:space="preserve">                                                               </w:t>
    </w:r>
    <w:r>
      <w:rPr>
        <w:rFonts w:eastAsia="华文彩云"/>
      </w:rPr>
      <w:t xml:space="preserve"> </w:t>
    </w:r>
    <w:r>
      <w:rPr>
        <w:rFonts w:hint="eastAsia" w:eastAsia="华文彩云"/>
      </w:rPr>
      <w:t xml:space="preserve">     </w:t>
    </w:r>
    <w:r>
      <w:rPr>
        <w:rFonts w:eastAsia="华文彩云"/>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7194"/>
    <w:multiLevelType w:val="multilevel"/>
    <w:tmpl w:val="09DC7194"/>
    <w:lvl w:ilvl="0" w:tentative="0">
      <w:start w:val="1"/>
      <w:numFmt w:val="decimal"/>
      <w:pStyle w:val="14"/>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14C90C08"/>
    <w:multiLevelType w:val="multilevel"/>
    <w:tmpl w:val="14C90C08"/>
    <w:lvl w:ilvl="0" w:tentative="0">
      <w:start w:val="1"/>
      <w:numFmt w:val="decimal"/>
      <w:lvlText w:val="4.%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mNmZmE3MzAyNDFlZWY2ZjVhZTNiZTkwMWI5ZmMifQ=="/>
  </w:docVars>
  <w:rsids>
    <w:rsidRoot w:val="26A40C5B"/>
    <w:rsid w:val="0010014F"/>
    <w:rsid w:val="003750DA"/>
    <w:rsid w:val="003A17EC"/>
    <w:rsid w:val="00824DBC"/>
    <w:rsid w:val="00927FEF"/>
    <w:rsid w:val="00C10455"/>
    <w:rsid w:val="00E60443"/>
    <w:rsid w:val="033E7AED"/>
    <w:rsid w:val="05561E2E"/>
    <w:rsid w:val="062F3DF0"/>
    <w:rsid w:val="0BBD5A31"/>
    <w:rsid w:val="0C295BA6"/>
    <w:rsid w:val="0D9C7E20"/>
    <w:rsid w:val="14F8115A"/>
    <w:rsid w:val="1A5F12AA"/>
    <w:rsid w:val="1ADC5C4A"/>
    <w:rsid w:val="1F814DB7"/>
    <w:rsid w:val="214A7B88"/>
    <w:rsid w:val="2410554C"/>
    <w:rsid w:val="26A40C5B"/>
    <w:rsid w:val="26A85D28"/>
    <w:rsid w:val="26A97EE1"/>
    <w:rsid w:val="3104736A"/>
    <w:rsid w:val="31D125D7"/>
    <w:rsid w:val="32A7158A"/>
    <w:rsid w:val="34537668"/>
    <w:rsid w:val="36DA7A08"/>
    <w:rsid w:val="39F44BE5"/>
    <w:rsid w:val="3E921B8F"/>
    <w:rsid w:val="3F5D36FC"/>
    <w:rsid w:val="42986196"/>
    <w:rsid w:val="45DA6764"/>
    <w:rsid w:val="46110DEE"/>
    <w:rsid w:val="481F6154"/>
    <w:rsid w:val="4F285398"/>
    <w:rsid w:val="539354E6"/>
    <w:rsid w:val="53B970C0"/>
    <w:rsid w:val="58935D7B"/>
    <w:rsid w:val="5C2E060F"/>
    <w:rsid w:val="5E5574AF"/>
    <w:rsid w:val="60E45F08"/>
    <w:rsid w:val="62FE0977"/>
    <w:rsid w:val="63C17C51"/>
    <w:rsid w:val="6D42333F"/>
    <w:rsid w:val="6D772A28"/>
    <w:rsid w:val="6FEC20A5"/>
    <w:rsid w:val="71B21583"/>
    <w:rsid w:val="71E85518"/>
    <w:rsid w:val="750557EC"/>
    <w:rsid w:val="77B43362"/>
    <w:rsid w:val="7C63164A"/>
    <w:rsid w:val="7DC56218"/>
    <w:rsid w:val="7F413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一级条标题"/>
    <w:basedOn w:val="6"/>
    <w:next w:val="7"/>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7">
    <w:name w:val="段"/>
    <w:basedOn w:val="1"/>
    <w:next w:val="1"/>
    <w:qFormat/>
    <w:uiPriority w:val="0"/>
    <w:pPr>
      <w:widowControl/>
      <w:autoSpaceDE w:val="0"/>
      <w:autoSpaceDN w:val="0"/>
      <w:ind w:firstLine="200" w:firstLineChars="200"/>
    </w:pPr>
    <w:rPr>
      <w:rFonts w:hint="eastAsia" w:ascii="宋体"/>
      <w:kern w:val="0"/>
      <w:szCs w:val="20"/>
    </w:rPr>
  </w:style>
  <w:style w:type="paragraph" w:styleId="8">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9">
    <w:name w:val="Body Text First Indent"/>
    <w:basedOn w:val="4"/>
    <w:qFormat/>
    <w:uiPriority w:val="0"/>
    <w:pPr>
      <w:ind w:firstLine="420" w:firstLineChars="100"/>
    </w:pPr>
    <w:rPr>
      <w:rFonts w:eastAsia="仿宋_GB2312"/>
      <w:szCs w:val="20"/>
    </w:rPr>
  </w:style>
  <w:style w:type="character" w:styleId="12">
    <w:name w:val="page number"/>
    <w:qFormat/>
    <w:uiPriority w:val="0"/>
  </w:style>
  <w:style w:type="paragraph" w:customStyle="1" w:styleId="13">
    <w:name w:val="样式 标题 1 + 四号 居中 段前: 12 磅 段后: 12 磅 行距: 单倍行距"/>
    <w:basedOn w:val="3"/>
    <w:qFormat/>
    <w:uiPriority w:val="0"/>
    <w:pPr>
      <w:spacing w:before="240" w:after="240" w:line="240" w:lineRule="auto"/>
      <w:jc w:val="center"/>
    </w:pPr>
    <w:rPr>
      <w:sz w:val="28"/>
      <w:szCs w:val="20"/>
    </w:rPr>
  </w:style>
  <w:style w:type="paragraph" w:customStyle="1" w:styleId="14">
    <w:name w:val="样式1"/>
    <w:basedOn w:val="1"/>
    <w:qFormat/>
    <w:uiPriority w:val="0"/>
    <w:pPr>
      <w:numPr>
        <w:ilvl w:val="0"/>
        <w:numId w:val="2"/>
      </w:numPr>
      <w:adjustRightInd w:val="0"/>
    </w:pPr>
    <w:rPr>
      <w:rFonts w:ascii="宋体" w:hAnsi="宋体"/>
      <w:kern w:val="0"/>
      <w:szCs w:val="21"/>
    </w:rPr>
  </w:style>
  <w:style w:type="character" w:customStyle="1" w:styleId="15">
    <w:name w:val="font21"/>
    <w:qFormat/>
    <w:uiPriority w:val="0"/>
    <w:rPr>
      <w:rFonts w:hint="eastAsia" w:ascii="宋体" w:hAnsi="宋体" w:eastAsia="宋体" w:cs="宋体"/>
      <w:b/>
      <w:bCs/>
      <w:color w:val="000000"/>
      <w:sz w:val="24"/>
      <w:szCs w:val="24"/>
      <w:u w:val="single"/>
    </w:rPr>
  </w:style>
  <w:style w:type="character" w:customStyle="1" w:styleId="16">
    <w:name w:val="font31"/>
    <w:qFormat/>
    <w:uiPriority w:val="0"/>
    <w:rPr>
      <w:rFonts w:hint="eastAsia" w:ascii="宋体" w:hAnsi="宋体" w:eastAsia="宋体" w:cs="宋体"/>
      <w:b/>
      <w:bCs/>
      <w:color w:val="000000"/>
      <w:sz w:val="24"/>
      <w:szCs w:val="24"/>
      <w:u w:val="none"/>
    </w:rPr>
  </w:style>
  <w:style w:type="paragraph" w:customStyle="1" w:styleId="17">
    <w:name w:val="样式 宋体 五号 两端对齐 行距: 单倍行距"/>
    <w:basedOn w:val="1"/>
    <w:qFormat/>
    <w:uiPriority w:val="0"/>
    <w:pPr>
      <w:adjustRightInd w:val="0"/>
    </w:pPr>
    <w:rPr>
      <w:rFonts w:ascii="宋体" w:hAnsi="宋体"/>
      <w:kern w:val="0"/>
      <w:szCs w:val="20"/>
    </w:rPr>
  </w:style>
  <w:style w:type="paragraph" w:customStyle="1" w:styleId="18">
    <w:name w:val="_Style 83"/>
    <w:basedOn w:val="4"/>
    <w:next w:val="9"/>
    <w:qFormat/>
    <w:uiPriority w:val="0"/>
    <w:pPr>
      <w:ind w:firstLine="420" w:firstLineChars="100"/>
    </w:pPr>
    <w:rPr>
      <w:rFonts w:eastAsia="仿宋_GB2312"/>
      <w:szCs w:val="20"/>
    </w:rPr>
  </w:style>
  <w:style w:type="paragraph" w:customStyle="1" w:styleId="19">
    <w:name w:val="Default"/>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16</Pages>
  <Words>11032</Words>
  <Characters>11631</Characters>
  <Lines>91</Lines>
  <Paragraphs>25</Paragraphs>
  <TotalTime>11</TotalTime>
  <ScaleCrop>false</ScaleCrop>
  <LinksUpToDate>false</LinksUpToDate>
  <CharactersWithSpaces>12140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2022-03-29T07:16:00Z</dcterms:created>
  <dc:creator>admin</dc:creator>
  <cp:lastModifiedBy>白亮宇</cp:lastModifiedBy>
  <dcterms:modified xsi:type="dcterms:W3CDTF">2022-08-02T02:33:03Z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6C4ACA3EA0A746B7893BDAEF7F645D52</vt:lpwstr>
  </property>
</Properties>
</file>