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图书馆与大学生活动中心轻食餐饮</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服务外包项目</w:t>
      </w:r>
    </w:p>
    <w:p>
      <w:pPr>
        <w:spacing w:line="500" w:lineRule="exact"/>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F01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5</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lang w:val="en-US" w:eastAsia="zh-CN"/>
          <w14:shadow w14:blurRad="50800" w14:dist="38100" w14:dir="2700000" w14:sx="100000" w14:sy="100000" w14:kx="0" w14:ky="0" w14:algn="tl">
            <w14:srgbClr w14:val="000000">
              <w14:alpha w14:val="60000"/>
            </w14:srgbClr>
          </w14:shadow>
        </w:rPr>
        <w:t>3</w:t>
      </w:r>
      <w:r>
        <w:rPr>
          <w:rFonts w:hint="eastAsia" w:ascii="宋体" w:hAnsi="宋体"/>
          <w:sz w:val="32"/>
          <w14:shadow w14:blurRad="50800" w14:dist="38100" w14:dir="2700000" w14:sx="100000" w14:sy="100000" w14:kx="0" w14:ky="0" w14:algn="tl">
            <w14:srgbClr w14:val="000000">
              <w14:alpha w14:val="60000"/>
            </w14:srgbClr>
          </w14:shadow>
        </w:rPr>
        <w:t>年</w:t>
      </w:r>
      <w:r>
        <w:rPr>
          <w:rFonts w:hint="eastAsia" w:ascii="宋体" w:hAnsi="宋体"/>
          <w:sz w:val="32"/>
          <w:lang w:val="en-US" w:eastAsia="zh-CN"/>
          <w14:shadow w14:blurRad="50800" w14:dist="38100" w14:dir="2700000" w14:sx="100000" w14:sy="100000" w14:kx="0" w14:ky="0" w14:algn="tl">
            <w14:srgbClr w14:val="000000">
              <w14:alpha w14:val="60000"/>
            </w14:srgbClr>
          </w14:shadow>
        </w:rPr>
        <w:t>3</w:t>
      </w:r>
      <w:r>
        <w:rPr>
          <w:rFonts w:hint="eastAsia" w:ascii="宋体" w:hAnsi="宋体"/>
          <w:sz w:val="32"/>
          <w14:shadow w14:blurRad="50800" w14:dist="38100" w14:dir="2700000" w14:sx="100000" w14:sy="100000" w14:kx="0" w14:ky="0" w14:algn="tl">
            <w14:srgbClr w14:val="000000">
              <w14:alpha w14:val="60000"/>
            </w14:srgbClr>
          </w14:shadow>
        </w:rPr>
        <w:t>月</w:t>
      </w:r>
      <w:r>
        <w:rPr>
          <w:rFonts w:hint="eastAsia" w:ascii="宋体" w:hAnsi="宋体"/>
          <w:sz w:val="32"/>
          <w:lang w:val="en-US" w:eastAsia="zh-CN"/>
          <w14:shadow w14:blurRad="50800" w14:dist="38100" w14:dir="2700000" w14:sx="100000" w14:sy="100000" w14:kx="0" w14:ky="0" w14:algn="tl">
            <w14:srgbClr w14:val="000000">
              <w14:alpha w14:val="60000"/>
            </w14:srgbClr>
          </w14:shadow>
        </w:rPr>
        <w:t>3</w:t>
      </w:r>
      <w:r>
        <w:rPr>
          <w:rFonts w:hint="eastAsia" w:ascii="宋体" w:hAnsi="宋体"/>
          <w:sz w:val="32"/>
          <w14:shadow w14:blurRad="50800" w14:dist="38100" w14:dir="2700000" w14:sx="100000" w14:sy="100000" w14:kx="0" w14:ky="0" w14:algn="tl">
            <w14:srgbClr w14:val="000000">
              <w14:alpha w14:val="60000"/>
            </w14:srgbClr>
          </w14:shadow>
        </w:rPr>
        <w:t>日</w:t>
      </w:r>
    </w:p>
    <w:p>
      <w:pPr>
        <w:pStyle w:val="17"/>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8"/>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8"/>
        <w:numPr>
          <w:ilvl w:val="0"/>
          <w:numId w:val="0"/>
        </w:numPr>
        <w:ind w:firstLine="472" w:firstLineChars="196"/>
        <w:rPr>
          <w:b/>
          <w:sz w:val="24"/>
          <w:szCs w:val="24"/>
        </w:rPr>
      </w:pPr>
      <w:r>
        <w:rPr>
          <w:rFonts w:hint="eastAsia"/>
          <w:b/>
          <w:sz w:val="24"/>
          <w:szCs w:val="24"/>
        </w:rPr>
        <w:t>2.磋商文件的澄清</w:t>
      </w:r>
    </w:p>
    <w:p>
      <w:pPr>
        <w:pStyle w:val="18"/>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8"/>
        <w:numPr>
          <w:ilvl w:val="0"/>
          <w:numId w:val="0"/>
        </w:numPr>
        <w:ind w:firstLine="472" w:firstLineChars="196"/>
        <w:rPr>
          <w:b/>
          <w:sz w:val="24"/>
          <w:szCs w:val="24"/>
        </w:rPr>
      </w:pPr>
      <w:r>
        <w:rPr>
          <w:rFonts w:hint="eastAsia"/>
          <w:b/>
          <w:sz w:val="24"/>
          <w:szCs w:val="24"/>
        </w:rPr>
        <w:t>3.磋商文件的修改</w:t>
      </w:r>
    </w:p>
    <w:p>
      <w:pPr>
        <w:pStyle w:val="18"/>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8"/>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8"/>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8"/>
        <w:numPr>
          <w:ilvl w:val="0"/>
          <w:numId w:val="0"/>
        </w:numPr>
        <w:ind w:firstLine="472" w:firstLineChars="196"/>
        <w:rPr>
          <w:b/>
          <w:sz w:val="24"/>
          <w:szCs w:val="24"/>
        </w:rPr>
      </w:pPr>
      <w:r>
        <w:rPr>
          <w:rFonts w:hint="eastAsia"/>
          <w:b/>
          <w:sz w:val="24"/>
          <w:szCs w:val="24"/>
        </w:rPr>
        <w:t>4. 通知</w:t>
      </w:r>
    </w:p>
    <w:p>
      <w:pPr>
        <w:pStyle w:val="18"/>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8"/>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ascii="宋体" w:hAnsi="宋体"/>
          <w:sz w:val="24"/>
        </w:rPr>
      </w:pPr>
      <w:r>
        <w:rPr>
          <w:rFonts w:hint="eastAsia" w:ascii="宋体" w:hAnsi="宋体"/>
          <w:sz w:val="24"/>
        </w:rPr>
        <w:t>2）具有良好的商业信誉和健全的财务会计制度；</w:t>
      </w:r>
    </w:p>
    <w:p>
      <w:pPr>
        <w:shd w:val="clear"/>
        <w:spacing w:line="280" w:lineRule="exact"/>
        <w:ind w:firstLine="480" w:firstLineChars="200"/>
        <w:rPr>
          <w:rFonts w:ascii="宋体" w:hAnsi="宋体"/>
          <w:sz w:val="24"/>
          <w:shd w:val="clear"/>
        </w:rPr>
      </w:pPr>
      <w:r>
        <w:rPr>
          <w:rFonts w:hint="eastAsia" w:ascii="宋体" w:hAnsi="宋体"/>
          <w:sz w:val="24"/>
          <w:shd w:val="clear"/>
        </w:rPr>
        <w:t>3）企业具有餐饮服务许可证（或食品经营许可证）。</w:t>
      </w:r>
    </w:p>
    <w:p>
      <w:pPr>
        <w:spacing w:line="280" w:lineRule="exact"/>
        <w:ind w:firstLine="480" w:firstLineChars="200"/>
        <w:rPr>
          <w:rFonts w:ascii="宋体" w:hAnsi="宋体"/>
          <w:sz w:val="24"/>
        </w:rPr>
      </w:pPr>
      <w:r>
        <w:rPr>
          <w:rFonts w:hint="eastAsia" w:ascii="宋体" w:hAnsi="宋体"/>
          <w:sz w:val="24"/>
        </w:rPr>
        <w:t>4）具有履行合同所必需的设备和专业技术能力；</w:t>
      </w:r>
    </w:p>
    <w:p>
      <w:pPr>
        <w:spacing w:line="280" w:lineRule="exact"/>
        <w:ind w:firstLine="480" w:firstLineChars="200"/>
        <w:rPr>
          <w:rFonts w:ascii="宋体" w:hAnsi="宋体"/>
          <w:sz w:val="24"/>
        </w:rPr>
      </w:pPr>
      <w:r>
        <w:rPr>
          <w:rFonts w:hint="eastAsia" w:ascii="宋体" w:hAnsi="宋体"/>
          <w:sz w:val="24"/>
        </w:rPr>
        <w:t>5）依法缴纳税收和社会保障资金；</w:t>
      </w:r>
    </w:p>
    <w:p>
      <w:pPr>
        <w:spacing w:line="280" w:lineRule="exact"/>
        <w:ind w:firstLine="480" w:firstLineChars="200"/>
        <w:rPr>
          <w:rFonts w:ascii="宋体" w:hAnsi="宋体"/>
          <w:sz w:val="24"/>
        </w:rPr>
      </w:pPr>
      <w:r>
        <w:rPr>
          <w:rFonts w:hint="eastAsia" w:ascii="宋体" w:hAnsi="宋体"/>
          <w:sz w:val="24"/>
        </w:rPr>
        <w:t>6）不接受联合体投标；</w:t>
      </w:r>
    </w:p>
    <w:p>
      <w:pPr>
        <w:spacing w:line="280" w:lineRule="exact"/>
        <w:ind w:firstLine="480" w:firstLineChars="200"/>
        <w:rPr>
          <w:rFonts w:ascii="宋体" w:hAnsi="宋体"/>
          <w:sz w:val="24"/>
        </w:rPr>
      </w:pPr>
      <w:r>
        <w:rPr>
          <w:rFonts w:hint="eastAsia" w:ascii="宋体" w:hAnsi="宋体"/>
          <w:sz w:val="24"/>
        </w:rPr>
        <w:t>7）单位负责人为同一人或者存在控股、管理关系的不同单位不得参加同一项目的投标活动。</w:t>
      </w:r>
    </w:p>
    <w:p>
      <w:pPr>
        <w:shd w:val="clear"/>
        <w:spacing w:line="280" w:lineRule="exact"/>
        <w:ind w:firstLine="482" w:firstLineChars="200"/>
        <w:rPr>
          <w:rFonts w:ascii="宋体" w:hAnsi="宋体"/>
          <w:sz w:val="24"/>
          <w:shd w:val="clear" w:color="auto" w:fill="FFFF00"/>
        </w:rPr>
      </w:pPr>
      <w:r>
        <w:rPr>
          <w:rFonts w:hint="eastAsia" w:ascii="宋体" w:hAnsi="宋体"/>
          <w:b/>
          <w:bCs/>
          <w:kern w:val="0"/>
          <w:sz w:val="24"/>
        </w:rPr>
        <w:t>6.付款方式：</w:t>
      </w:r>
      <w:r>
        <w:rPr>
          <w:rFonts w:hint="eastAsia" w:ascii="宋体" w:hAnsi="宋体"/>
          <w:sz w:val="24"/>
        </w:rPr>
        <w:t>每月由院方计划财务处从当月营业收入中扣除水电费、燃气费及其他相关费用后，剩余费用于次月15日前返还到中标人账户中。</w:t>
      </w:r>
    </w:p>
    <w:p>
      <w:pPr>
        <w:pStyle w:val="17"/>
        <w:numPr>
          <w:ilvl w:val="0"/>
          <w:numId w:val="0"/>
        </w:numPr>
        <w:spacing w:before="0" w:after="0"/>
        <w:ind w:firstLine="482" w:firstLineChars="200"/>
        <w:jc w:val="left"/>
        <w:outlineLvl w:val="9"/>
        <w:rPr>
          <w:rFonts w:ascii="宋体" w:hAnsi="宋体"/>
          <w:bCs w:val="0"/>
          <w:sz w:val="24"/>
        </w:rPr>
      </w:pPr>
      <w:r>
        <w:rPr>
          <w:rFonts w:hint="eastAsia" w:ascii="宋体" w:hAnsi="宋体"/>
          <w:bCs w:val="0"/>
          <w:sz w:val="24"/>
        </w:rPr>
        <w:t>7.项目预算与投资：</w:t>
      </w:r>
      <w:bookmarkStart w:id="11" w:name="_GoBack"/>
      <w:bookmarkEnd w:id="11"/>
    </w:p>
    <w:p>
      <w:pPr>
        <w:pStyle w:val="17"/>
        <w:numPr>
          <w:ilvl w:val="0"/>
          <w:numId w:val="0"/>
        </w:numPr>
        <w:spacing w:before="0" w:after="0"/>
        <w:ind w:firstLine="482" w:firstLineChars="200"/>
        <w:jc w:val="left"/>
        <w:outlineLvl w:val="9"/>
        <w:rPr>
          <w:rFonts w:ascii="宋体" w:hAnsi="宋体"/>
          <w:b/>
          <w:bCs w:val="0"/>
          <w:sz w:val="24"/>
        </w:rPr>
      </w:pPr>
      <w:r>
        <w:rPr>
          <w:rFonts w:hint="eastAsia" w:ascii="宋体" w:hAnsi="宋体"/>
          <w:b/>
          <w:bCs w:val="0"/>
          <w:sz w:val="24"/>
        </w:rPr>
        <w:t>1）本项目实行“零租赁”，免收管理费。由中标人在规定的经营范围内自主经营、独立核算，独立享有经营效益，独立承担经营风险，自主履行本项目经营合同规定的权利与义务。中标人经营本项目期间的全部费用均由其自行承担；</w:t>
      </w:r>
    </w:p>
    <w:p>
      <w:pPr>
        <w:pStyle w:val="17"/>
        <w:numPr>
          <w:ilvl w:val="0"/>
          <w:numId w:val="0"/>
        </w:numPr>
        <w:shd w:val="clear"/>
        <w:spacing w:before="0" w:after="0"/>
        <w:ind w:firstLine="482" w:firstLineChars="200"/>
        <w:jc w:val="left"/>
        <w:outlineLvl w:val="9"/>
        <w:rPr>
          <w:rFonts w:ascii="宋体" w:hAnsi="宋体"/>
          <w:b/>
          <w:bCs w:val="0"/>
          <w:color w:val="auto"/>
          <w:sz w:val="24"/>
        </w:rPr>
      </w:pPr>
      <w:r>
        <w:rPr>
          <w:rFonts w:hint="eastAsia" w:ascii="宋体" w:hAnsi="宋体"/>
          <w:b/>
          <w:bCs w:val="0"/>
          <w:color w:val="auto"/>
          <w:sz w:val="24"/>
        </w:rPr>
        <w:t>2）本项目中标人所投入的装饰装修及其设施设备资金要求不低于人民币80万元，营业前中标人须提供投资说明及单据，不足部分予以补齐方可开业。</w:t>
      </w:r>
    </w:p>
    <w:p>
      <w:pPr>
        <w:ind w:firstLine="482" w:firstLineChars="200"/>
        <w:rPr>
          <w:rFonts w:ascii="宋体" w:hAnsi="宋体"/>
          <w:b/>
          <w:bCs/>
          <w:kern w:val="0"/>
          <w:sz w:val="24"/>
        </w:rPr>
      </w:pPr>
      <w:r>
        <w:rPr>
          <w:rFonts w:hint="eastAsia" w:ascii="宋体" w:hAnsi="宋体"/>
          <w:b/>
          <w:bCs/>
          <w:kern w:val="0"/>
          <w:sz w:val="24"/>
        </w:rPr>
        <w:t>8.服务周期：</w:t>
      </w:r>
    </w:p>
    <w:p>
      <w:pPr>
        <w:ind w:firstLine="482" w:firstLineChars="200"/>
        <w:rPr>
          <w:color w:val="auto"/>
        </w:rPr>
      </w:pPr>
      <w:r>
        <w:rPr>
          <w:rFonts w:hint="eastAsia" w:ascii="宋体" w:hAnsi="宋体"/>
          <w:b/>
          <w:bCs/>
          <w:color w:val="auto"/>
          <w:sz w:val="24"/>
        </w:rPr>
        <w:t>采取“2+3”模式，续签合同期限为3年。首签期满后，无违法、违规、违约和安全责任事故的，方可继续履行后3年合同。</w:t>
      </w:r>
    </w:p>
    <w:p>
      <w:pPr>
        <w:pStyle w:val="17"/>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9.服务对象：</w:t>
      </w:r>
      <w:r>
        <w:rPr>
          <w:rFonts w:hint="eastAsia" w:ascii="宋体" w:hAnsi="宋体"/>
          <w:b w:val="0"/>
          <w:bCs w:val="0"/>
          <w:kern w:val="0"/>
          <w:sz w:val="24"/>
          <w:szCs w:val="24"/>
        </w:rPr>
        <w:t>江苏师范大学</w:t>
      </w:r>
      <w:r>
        <w:rPr>
          <w:rFonts w:hint="eastAsia" w:ascii="宋体" w:hAnsi="宋体"/>
          <w:b w:val="0"/>
          <w:bCs w:val="0"/>
          <w:sz w:val="24"/>
        </w:rPr>
        <w:t>科文学院</w:t>
      </w:r>
      <w:r>
        <w:rPr>
          <w:rFonts w:hint="eastAsia" w:ascii="宋体" w:hAnsi="宋体"/>
          <w:b w:val="0"/>
          <w:sz w:val="24"/>
        </w:rPr>
        <w:t>潘安湖校区。</w:t>
      </w:r>
    </w:p>
    <w:p>
      <w:pPr>
        <w:ind w:firstLine="482" w:firstLineChars="200"/>
        <w:rPr>
          <w:rFonts w:ascii="宋体" w:hAnsi="宋体"/>
          <w:sz w:val="24"/>
        </w:rPr>
      </w:pPr>
      <w:r>
        <w:rPr>
          <w:rFonts w:hint="eastAsia" w:ascii="宋体" w:hAnsi="宋体"/>
          <w:b/>
          <w:bCs/>
          <w:sz w:val="24"/>
        </w:rPr>
        <w:t>10.现场勘查：</w:t>
      </w:r>
      <w:r>
        <w:rPr>
          <w:rFonts w:hint="eastAsia" w:ascii="宋体" w:hAnsi="宋体"/>
          <w:bCs/>
          <w:color w:val="auto"/>
          <w:sz w:val="24"/>
          <w:shd w:val="clear"/>
        </w:rPr>
        <w:t>本项目不安排集中现场勘查，投标人可自行安排现场考察事宜，进入现场前联系相关负责老师，现场考察人员</w:t>
      </w:r>
      <w:r>
        <w:rPr>
          <w:rFonts w:hint="eastAsia" w:ascii="宋体" w:hAnsi="宋体"/>
          <w:color w:val="auto"/>
          <w:sz w:val="24"/>
          <w:shd w:val="clear"/>
        </w:rPr>
        <w:t>需提前一天提供报备资料，费用自理。采购方现场对接联</w:t>
      </w:r>
      <w:r>
        <w:rPr>
          <w:rFonts w:hint="eastAsia" w:ascii="宋体" w:hAnsi="宋体"/>
          <w:sz w:val="24"/>
        </w:rPr>
        <w:t>系人</w:t>
      </w:r>
      <w:r>
        <w:rPr>
          <w:rFonts w:hint="eastAsia" w:ascii="宋体" w:hAnsi="宋体"/>
          <w:b/>
          <w:bCs/>
          <w:sz w:val="24"/>
        </w:rPr>
        <w:t>倪老师，联系方式13852081771</w:t>
      </w:r>
      <w:r>
        <w:rPr>
          <w:rFonts w:hint="eastAsia" w:ascii="宋体" w:hAnsi="宋体"/>
          <w:sz w:val="24"/>
        </w:rPr>
        <w:t>。</w:t>
      </w:r>
    </w:p>
    <w:p>
      <w:pPr>
        <w:ind w:firstLine="482" w:firstLineChars="200"/>
        <w:rPr>
          <w:rFonts w:ascii="宋体" w:hAnsi="宋体"/>
          <w:b/>
          <w:bCs/>
          <w:sz w:val="24"/>
        </w:rPr>
      </w:pPr>
      <w:r>
        <w:rPr>
          <w:rFonts w:hint="eastAsia" w:ascii="宋体" w:hAnsi="宋体"/>
          <w:b/>
          <w:bCs/>
          <w:sz w:val="24"/>
        </w:rPr>
        <w:t>11.项目经营方案：各投标人务必准备本项目彩页方案5份，</w:t>
      </w:r>
      <w:r>
        <w:rPr>
          <w:rFonts w:hint="eastAsia" w:ascii="宋体" w:hAnsi="宋体"/>
          <w:b/>
          <w:bCs/>
          <w:sz w:val="24"/>
          <w:lang w:val="en-US" w:eastAsia="zh-CN"/>
        </w:rPr>
        <w:t>密封</w:t>
      </w:r>
      <w:r>
        <w:rPr>
          <w:rFonts w:hint="eastAsia" w:ascii="宋体" w:hAnsi="宋体"/>
          <w:b/>
          <w:bCs/>
          <w:sz w:val="24"/>
        </w:rPr>
        <w:t>带至开标现场。该彩页说明书内容包括但不限于要求的经营特色或创新、装饰装修方案、经营保障服务方案、设施设备配套方案等内容。其中各投标人应当提供装修效果图，其中整体效果图至少一张，局部效果图不少于三张，彩印KT版，尺寸自定，在招标现场展示，同时投标文件中提供彩打效果图。</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8"/>
        <w:numPr>
          <w:ilvl w:val="0"/>
          <w:numId w:val="0"/>
        </w:numPr>
        <w:ind w:firstLine="472" w:firstLineChars="196"/>
        <w:rPr>
          <w:b/>
          <w:sz w:val="24"/>
          <w:szCs w:val="24"/>
        </w:rPr>
      </w:pPr>
      <w:r>
        <w:rPr>
          <w:rFonts w:hint="eastAsia"/>
          <w:b/>
          <w:sz w:val="24"/>
          <w:szCs w:val="24"/>
        </w:rPr>
        <w:t>1. 投标文件的语言和计量单位</w:t>
      </w:r>
    </w:p>
    <w:p>
      <w:pPr>
        <w:pStyle w:val="18"/>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8"/>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8"/>
        <w:numPr>
          <w:ilvl w:val="0"/>
          <w:numId w:val="0"/>
        </w:numPr>
        <w:ind w:firstLine="472" w:firstLineChars="196"/>
        <w:rPr>
          <w:b/>
          <w:sz w:val="24"/>
          <w:szCs w:val="24"/>
        </w:rPr>
      </w:pPr>
      <w:r>
        <w:rPr>
          <w:rFonts w:hint="eastAsia"/>
          <w:b/>
          <w:sz w:val="24"/>
          <w:szCs w:val="24"/>
        </w:rPr>
        <w:t>2投标文件的组成及相关要求</w:t>
      </w:r>
    </w:p>
    <w:p>
      <w:pPr>
        <w:pStyle w:val="18"/>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8"/>
        <w:numPr>
          <w:ilvl w:val="0"/>
          <w:numId w:val="0"/>
        </w:numPr>
        <w:ind w:firstLine="472" w:firstLineChars="196"/>
        <w:rPr>
          <w:b/>
          <w:sz w:val="24"/>
          <w:szCs w:val="24"/>
        </w:rPr>
      </w:pPr>
      <w:r>
        <w:rPr>
          <w:rFonts w:hint="eastAsia"/>
          <w:b/>
          <w:sz w:val="24"/>
          <w:szCs w:val="24"/>
        </w:rPr>
        <w:t>3.投标内容填写说明</w:t>
      </w:r>
    </w:p>
    <w:p>
      <w:pPr>
        <w:pStyle w:val="18"/>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8"/>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8"/>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8"/>
        <w:numPr>
          <w:ilvl w:val="0"/>
          <w:numId w:val="0"/>
        </w:numPr>
        <w:ind w:firstLine="480" w:firstLineChars="200"/>
        <w:rPr>
          <w:sz w:val="24"/>
          <w:szCs w:val="24"/>
        </w:rPr>
      </w:pPr>
      <w:r>
        <w:rPr>
          <w:rFonts w:hint="eastAsia"/>
          <w:sz w:val="24"/>
          <w:szCs w:val="24"/>
        </w:rPr>
        <w:t>本项目投标报价应包括文件规定的招标范围内产生的设备与人员安排、应急预案、施工安装和调试、合约期的服务范围与服务项目、投标人的利润、税金和应承担的风险等所有费用。</w:t>
      </w:r>
    </w:p>
    <w:p>
      <w:pPr>
        <w:pStyle w:val="18"/>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8"/>
        <w:numPr>
          <w:ilvl w:val="0"/>
          <w:numId w:val="0"/>
        </w:numPr>
        <w:ind w:firstLine="472" w:firstLineChars="196"/>
        <w:rPr>
          <w:b/>
          <w:sz w:val="24"/>
          <w:szCs w:val="24"/>
        </w:rPr>
      </w:pPr>
      <w:r>
        <w:rPr>
          <w:rFonts w:hint="eastAsia"/>
          <w:b/>
          <w:sz w:val="24"/>
          <w:szCs w:val="24"/>
        </w:rPr>
        <w:t>4.投标文件的编制</w:t>
      </w:r>
    </w:p>
    <w:p>
      <w:pPr>
        <w:pStyle w:val="18"/>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8"/>
        <w:numPr>
          <w:ilvl w:val="0"/>
          <w:numId w:val="3"/>
        </w:numPr>
        <w:rPr>
          <w:kern w:val="2"/>
          <w:sz w:val="24"/>
          <w:szCs w:val="24"/>
        </w:rPr>
      </w:pPr>
      <w:r>
        <w:rPr>
          <w:rFonts w:hint="eastAsia"/>
          <w:kern w:val="2"/>
          <w:sz w:val="24"/>
          <w:szCs w:val="24"/>
        </w:rPr>
        <w:t>资格审查符合性审查材料索引表</w:t>
      </w:r>
    </w:p>
    <w:p>
      <w:pPr>
        <w:pStyle w:val="18"/>
        <w:numPr>
          <w:ilvl w:val="0"/>
          <w:numId w:val="3"/>
        </w:numPr>
        <w:rPr>
          <w:kern w:val="2"/>
          <w:sz w:val="24"/>
          <w:szCs w:val="24"/>
        </w:rPr>
      </w:pPr>
      <w:r>
        <w:rPr>
          <w:rFonts w:hint="eastAsia"/>
          <w:kern w:val="2"/>
          <w:sz w:val="24"/>
          <w:szCs w:val="24"/>
        </w:rPr>
        <w:t>投标函；</w:t>
      </w:r>
    </w:p>
    <w:p>
      <w:pPr>
        <w:pStyle w:val="18"/>
        <w:numPr>
          <w:ilvl w:val="0"/>
          <w:numId w:val="3"/>
        </w:numPr>
        <w:rPr>
          <w:kern w:val="2"/>
          <w:sz w:val="24"/>
          <w:szCs w:val="24"/>
        </w:rPr>
      </w:pPr>
      <w:r>
        <w:rPr>
          <w:rFonts w:hint="eastAsia"/>
          <w:kern w:val="2"/>
          <w:sz w:val="24"/>
          <w:szCs w:val="24"/>
        </w:rPr>
        <w:t>法定代表人的授权委托书（原件封于投标文件正本中）；</w:t>
      </w:r>
    </w:p>
    <w:p>
      <w:pPr>
        <w:pStyle w:val="18"/>
        <w:numPr>
          <w:ilvl w:val="0"/>
          <w:numId w:val="3"/>
        </w:numPr>
        <w:rPr>
          <w:sz w:val="24"/>
          <w:szCs w:val="24"/>
        </w:rPr>
      </w:pPr>
      <w:r>
        <w:rPr>
          <w:rFonts w:hint="eastAsia"/>
          <w:sz w:val="24"/>
          <w:szCs w:val="24"/>
        </w:rPr>
        <w:t>承诺书（原件封于投标文件正本中）；</w:t>
      </w:r>
      <w:r>
        <w:rPr>
          <w:sz w:val="24"/>
          <w:szCs w:val="24"/>
        </w:rPr>
        <w:t xml:space="preserve"> </w:t>
      </w:r>
    </w:p>
    <w:p>
      <w:pPr>
        <w:pStyle w:val="18"/>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8"/>
        <w:numPr>
          <w:ilvl w:val="0"/>
          <w:numId w:val="3"/>
        </w:numPr>
        <w:rPr>
          <w:kern w:val="2"/>
          <w:sz w:val="24"/>
          <w:szCs w:val="24"/>
        </w:rPr>
      </w:pPr>
      <w:r>
        <w:rPr>
          <w:rFonts w:hint="eastAsia"/>
          <w:kern w:val="2"/>
          <w:sz w:val="24"/>
          <w:szCs w:val="24"/>
        </w:rPr>
        <w:t>投标单位情况介绍（简要说明）；</w:t>
      </w:r>
    </w:p>
    <w:p>
      <w:pPr>
        <w:pStyle w:val="18"/>
        <w:numPr>
          <w:ilvl w:val="0"/>
          <w:numId w:val="3"/>
        </w:numPr>
        <w:rPr>
          <w:kern w:val="2"/>
          <w:sz w:val="24"/>
          <w:szCs w:val="24"/>
        </w:rPr>
      </w:pPr>
      <w:r>
        <w:rPr>
          <w:rFonts w:hint="eastAsia"/>
          <w:kern w:val="2"/>
          <w:sz w:val="24"/>
          <w:szCs w:val="24"/>
        </w:rPr>
        <w:t>相关资质证明文件、企业营业执照复印件、餐饮服务许可证（或食品经营许可证）等相关证照复印件，并加盖单位公章。</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本条中（1）、（2）要求的材料无法提供时，可提供有审计资格的第三方出具的投标人上一年度财务审计报告复印件。</w:t>
      </w:r>
    </w:p>
    <w:p>
      <w:pPr>
        <w:pStyle w:val="18"/>
        <w:numPr>
          <w:ilvl w:val="0"/>
          <w:numId w:val="0"/>
        </w:numPr>
        <w:adjustRightInd/>
        <w:ind w:firstLine="480" w:firstLineChars="200"/>
        <w:jc w:val="left"/>
        <w:rPr>
          <w:kern w:val="2"/>
          <w:sz w:val="24"/>
          <w:szCs w:val="24"/>
        </w:rPr>
      </w:pPr>
      <w:r>
        <w:rPr>
          <w:rFonts w:hint="eastAsia"/>
          <w:sz w:val="24"/>
          <w:szCs w:val="24"/>
        </w:rPr>
        <w:t>4.9未被“信用中国”网站（www.creditchina.gov.cn）列入失信执行人、重大税收违法案件当事人名单、政府采购严重违法失信行为记录名单，否则投标无效。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8"/>
        <w:numPr>
          <w:ilvl w:val="0"/>
          <w:numId w:val="0"/>
        </w:numPr>
        <w:adjustRightInd/>
        <w:ind w:firstLine="480" w:firstLineChars="200"/>
        <w:jc w:val="left"/>
        <w:rPr>
          <w:kern w:val="2"/>
          <w:sz w:val="24"/>
          <w:szCs w:val="24"/>
        </w:rPr>
      </w:pPr>
      <w:r>
        <w:rPr>
          <w:rFonts w:hint="eastAsia"/>
          <w:kern w:val="2"/>
          <w:sz w:val="24"/>
          <w:szCs w:val="24"/>
        </w:rPr>
        <w:t>4.10投标人资格条件中对企业、项目负责人资质（资格）有要求时须提供相关证书复印件，否则无须提供；</w:t>
      </w:r>
    </w:p>
    <w:p>
      <w:pPr>
        <w:pStyle w:val="18"/>
        <w:numPr>
          <w:ilvl w:val="0"/>
          <w:numId w:val="0"/>
        </w:numPr>
        <w:adjustRightInd/>
        <w:ind w:firstLine="480" w:firstLineChars="200"/>
        <w:jc w:val="left"/>
        <w:rPr>
          <w:b/>
          <w:bCs/>
          <w:sz w:val="24"/>
          <w:szCs w:val="24"/>
        </w:rPr>
      </w:pPr>
      <w:r>
        <w:rPr>
          <w:rFonts w:hint="eastAsia"/>
          <w:kern w:val="2"/>
          <w:sz w:val="24"/>
          <w:szCs w:val="24"/>
        </w:rPr>
        <w:t>4.11投标</w:t>
      </w:r>
      <w:r>
        <w:rPr>
          <w:rFonts w:hint="eastAsia"/>
          <w:sz w:val="24"/>
          <w:szCs w:val="24"/>
        </w:rPr>
        <w:t>单位为投标代表缴纳社保证明</w:t>
      </w:r>
      <w:r>
        <w:rPr>
          <w:rFonts w:hint="eastAsia"/>
          <w:b/>
          <w:bCs/>
          <w:sz w:val="24"/>
          <w:szCs w:val="24"/>
        </w:rPr>
        <w:t>（提交首次响应文件时间前6个月内任何1月的依法缴纳社保的相关材料复印件）；</w:t>
      </w:r>
    </w:p>
    <w:p>
      <w:pPr>
        <w:pStyle w:val="18"/>
        <w:numPr>
          <w:ilvl w:val="0"/>
          <w:numId w:val="0"/>
        </w:numPr>
        <w:adjustRightInd/>
        <w:ind w:firstLine="480" w:firstLineChars="200"/>
        <w:jc w:val="left"/>
        <w:rPr>
          <w:kern w:val="2"/>
          <w:sz w:val="24"/>
          <w:szCs w:val="24"/>
        </w:rPr>
      </w:pPr>
      <w:r>
        <w:rPr>
          <w:rFonts w:hint="eastAsia"/>
          <w:kern w:val="2"/>
          <w:sz w:val="24"/>
          <w:szCs w:val="24"/>
        </w:rPr>
        <w:t>4.12商务和技术偏离表；</w:t>
      </w:r>
    </w:p>
    <w:p>
      <w:pPr>
        <w:pStyle w:val="18"/>
        <w:numPr>
          <w:ilvl w:val="0"/>
          <w:numId w:val="0"/>
        </w:numPr>
        <w:adjustRightInd/>
        <w:ind w:firstLine="480" w:firstLineChars="200"/>
        <w:jc w:val="left"/>
        <w:rPr>
          <w:kern w:val="2"/>
          <w:sz w:val="24"/>
          <w:szCs w:val="24"/>
        </w:rPr>
      </w:pPr>
      <w:r>
        <w:rPr>
          <w:rFonts w:hint="eastAsia"/>
          <w:kern w:val="2"/>
          <w:sz w:val="24"/>
          <w:szCs w:val="24"/>
        </w:rPr>
        <w:t>4.13投标人业绩一览表及业绩复印件（</w:t>
      </w:r>
      <w:r>
        <w:rPr>
          <w:rFonts w:hint="eastAsia"/>
          <w:b/>
          <w:kern w:val="2"/>
          <w:sz w:val="24"/>
          <w:szCs w:val="24"/>
        </w:rPr>
        <w:t>业绩原件备查</w:t>
      </w:r>
      <w:r>
        <w:rPr>
          <w:rFonts w:hint="eastAsia"/>
          <w:kern w:val="2"/>
          <w:sz w:val="24"/>
          <w:szCs w:val="24"/>
        </w:rPr>
        <w:t>）；</w:t>
      </w:r>
    </w:p>
    <w:p>
      <w:pPr>
        <w:pStyle w:val="18"/>
        <w:numPr>
          <w:ilvl w:val="0"/>
          <w:numId w:val="0"/>
        </w:numPr>
        <w:adjustRightInd/>
        <w:ind w:firstLine="480" w:firstLineChars="200"/>
        <w:jc w:val="left"/>
        <w:rPr>
          <w:rFonts w:hint="eastAsia" w:eastAsia="宋体"/>
          <w:kern w:val="2"/>
          <w:sz w:val="24"/>
          <w:szCs w:val="24"/>
          <w:lang w:eastAsia="zh-CN"/>
        </w:rPr>
      </w:pPr>
      <w:r>
        <w:rPr>
          <w:rFonts w:hint="eastAsia"/>
          <w:kern w:val="2"/>
          <w:sz w:val="24"/>
          <w:szCs w:val="24"/>
        </w:rPr>
        <w:t>4.14企业经营特色或创新</w:t>
      </w:r>
      <w:r>
        <w:rPr>
          <w:rFonts w:hint="eastAsia"/>
          <w:kern w:val="2"/>
          <w:sz w:val="24"/>
          <w:szCs w:val="24"/>
          <w:lang w:eastAsia="zh-CN"/>
        </w:rPr>
        <w:t>；</w:t>
      </w:r>
    </w:p>
    <w:p>
      <w:pPr>
        <w:pStyle w:val="18"/>
        <w:numPr>
          <w:ilvl w:val="0"/>
          <w:numId w:val="0"/>
        </w:numPr>
        <w:adjustRightInd/>
        <w:ind w:firstLine="480" w:firstLineChars="200"/>
        <w:jc w:val="left"/>
        <w:rPr>
          <w:rFonts w:hint="eastAsia" w:eastAsia="宋体"/>
          <w:kern w:val="2"/>
          <w:sz w:val="24"/>
          <w:szCs w:val="24"/>
          <w:lang w:eastAsia="zh-CN"/>
        </w:rPr>
      </w:pPr>
      <w:r>
        <w:rPr>
          <w:rFonts w:hint="eastAsia"/>
          <w:kern w:val="2"/>
          <w:sz w:val="24"/>
          <w:szCs w:val="24"/>
        </w:rPr>
        <w:t>4.15装饰装修方案，包括装饰装修设计方案、设计说明、功能性描述、设计图和效果图、装修费用预算表等。装饰装修方案须符合国家有关规范；如装修涉及改动房屋主体结构需有资质的设计单位签证</w:t>
      </w:r>
      <w:r>
        <w:rPr>
          <w:rFonts w:hint="eastAsia"/>
          <w:kern w:val="2"/>
          <w:sz w:val="24"/>
          <w:szCs w:val="24"/>
          <w:lang w:eastAsia="zh-CN"/>
        </w:rPr>
        <w:t>；</w:t>
      </w:r>
    </w:p>
    <w:p>
      <w:pPr>
        <w:pStyle w:val="18"/>
        <w:numPr>
          <w:ilvl w:val="0"/>
          <w:numId w:val="0"/>
        </w:numPr>
        <w:adjustRightInd/>
        <w:ind w:firstLine="480" w:firstLineChars="200"/>
        <w:jc w:val="left"/>
        <w:rPr>
          <w:kern w:val="2"/>
          <w:sz w:val="24"/>
          <w:szCs w:val="24"/>
        </w:rPr>
      </w:pPr>
      <w:r>
        <w:rPr>
          <w:rFonts w:hint="eastAsia"/>
          <w:kern w:val="2"/>
          <w:sz w:val="24"/>
          <w:szCs w:val="24"/>
        </w:rPr>
        <w:t xml:space="preserve">4.16针对本项目的经营保障服务方案，由投标人自行提供，包括以下几方面的内容：总体经营目标、思路，具体经营方案，合理化投资方案，管理措施、制度，到校经营团队组织构成和人员素质，有关承诺与应急预案等。 </w:t>
      </w:r>
    </w:p>
    <w:p>
      <w:pPr>
        <w:pStyle w:val="18"/>
        <w:numPr>
          <w:ilvl w:val="0"/>
          <w:numId w:val="0"/>
        </w:numPr>
        <w:adjustRightInd/>
        <w:ind w:firstLine="480" w:firstLineChars="200"/>
        <w:jc w:val="left"/>
        <w:rPr>
          <w:kern w:val="2"/>
          <w:sz w:val="24"/>
          <w:szCs w:val="24"/>
        </w:rPr>
      </w:pPr>
      <w:r>
        <w:rPr>
          <w:rFonts w:hint="eastAsia"/>
          <w:kern w:val="2"/>
          <w:sz w:val="24"/>
          <w:szCs w:val="24"/>
        </w:rPr>
        <w:t>4.17设施设备配套方案包括设施设备清单、材质、规格型号、数量、金额、能耗功率、使用年限、安装要求、入场水电要求、技术参数、外观等；</w:t>
      </w:r>
    </w:p>
    <w:p>
      <w:pPr>
        <w:pStyle w:val="18"/>
        <w:numPr>
          <w:ilvl w:val="0"/>
          <w:numId w:val="0"/>
        </w:numPr>
        <w:adjustRightInd/>
        <w:ind w:firstLine="480" w:firstLineChars="200"/>
        <w:jc w:val="left"/>
        <w:rPr>
          <w:kern w:val="2"/>
          <w:sz w:val="24"/>
          <w:szCs w:val="24"/>
        </w:rPr>
      </w:pPr>
      <w:r>
        <w:rPr>
          <w:rFonts w:hint="eastAsia"/>
          <w:kern w:val="2"/>
          <w:sz w:val="24"/>
          <w:szCs w:val="24"/>
        </w:rPr>
        <w:t>4.18磋商文件中要求提交的和投标人认为需要提供的其它说明和资料。</w:t>
      </w:r>
    </w:p>
    <w:p>
      <w:pPr>
        <w:pStyle w:val="18"/>
        <w:numPr>
          <w:ilvl w:val="0"/>
          <w:numId w:val="0"/>
        </w:numPr>
        <w:ind w:firstLine="472" w:firstLineChars="196"/>
        <w:rPr>
          <w:b/>
          <w:sz w:val="24"/>
          <w:szCs w:val="24"/>
        </w:rPr>
      </w:pPr>
      <w:r>
        <w:rPr>
          <w:rFonts w:hint="eastAsia"/>
          <w:b/>
          <w:sz w:val="24"/>
          <w:szCs w:val="24"/>
        </w:rPr>
        <w:t>5.投标要求</w:t>
      </w:r>
    </w:p>
    <w:p>
      <w:pPr>
        <w:pStyle w:val="18"/>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8"/>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8"/>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8"/>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8"/>
        <w:numPr>
          <w:ilvl w:val="0"/>
          <w:numId w:val="0"/>
        </w:numPr>
        <w:ind w:firstLine="480" w:firstLineChars="200"/>
        <w:rPr>
          <w:color w:val="FF0000"/>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8"/>
        <w:numPr>
          <w:ilvl w:val="0"/>
          <w:numId w:val="0"/>
        </w:numPr>
        <w:ind w:firstLine="354" w:firstLineChars="147"/>
        <w:rPr>
          <w:b/>
          <w:sz w:val="24"/>
          <w:szCs w:val="24"/>
        </w:rPr>
      </w:pPr>
      <w:r>
        <w:rPr>
          <w:rFonts w:hint="eastAsia"/>
          <w:b/>
          <w:sz w:val="24"/>
          <w:szCs w:val="24"/>
        </w:rPr>
        <w:t>6.投标保证金及标书费</w:t>
      </w:r>
    </w:p>
    <w:p>
      <w:pPr>
        <w:pStyle w:val="18"/>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8"/>
        <w:numPr>
          <w:ilvl w:val="0"/>
          <w:numId w:val="0"/>
        </w:numPr>
        <w:ind w:firstLine="480" w:firstLineChars="200"/>
        <w:rPr>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8"/>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8"/>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8"/>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8"/>
        <w:numPr>
          <w:ilvl w:val="0"/>
          <w:numId w:val="0"/>
        </w:numPr>
        <w:ind w:firstLine="234" w:firstLineChars="97"/>
        <w:rPr>
          <w:b/>
          <w:sz w:val="24"/>
          <w:szCs w:val="24"/>
        </w:rPr>
      </w:pPr>
      <w:r>
        <w:rPr>
          <w:rFonts w:hint="eastAsia"/>
          <w:b/>
          <w:sz w:val="24"/>
          <w:szCs w:val="24"/>
        </w:rPr>
        <w:t xml:space="preserve">  8.投标文件的签署及其他规定</w:t>
      </w:r>
    </w:p>
    <w:p>
      <w:pPr>
        <w:pStyle w:val="18"/>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8"/>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8"/>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8"/>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8"/>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8"/>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8"/>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8"/>
        <w:numPr>
          <w:ilvl w:val="0"/>
          <w:numId w:val="0"/>
        </w:numPr>
        <w:tabs>
          <w:tab w:val="left" w:pos="480"/>
        </w:tabs>
        <w:ind w:firstLine="482" w:firstLineChars="200"/>
        <w:rPr>
          <w:b/>
          <w:sz w:val="24"/>
          <w:szCs w:val="24"/>
        </w:rPr>
      </w:pPr>
      <w:r>
        <w:rPr>
          <w:rFonts w:hint="eastAsia"/>
          <w:b/>
          <w:sz w:val="24"/>
          <w:szCs w:val="24"/>
        </w:rPr>
        <w:t>1.投标文件的密封及标记</w:t>
      </w:r>
    </w:p>
    <w:p>
      <w:pPr>
        <w:pStyle w:val="18"/>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8"/>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8"/>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8"/>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8"/>
        <w:numPr>
          <w:ilvl w:val="0"/>
          <w:numId w:val="0"/>
        </w:numPr>
        <w:ind w:left="420" w:leftChars="200"/>
        <w:rPr>
          <w:b/>
          <w:sz w:val="24"/>
          <w:szCs w:val="24"/>
        </w:rPr>
      </w:pPr>
      <w:r>
        <w:rPr>
          <w:rFonts w:hint="eastAsia"/>
          <w:b/>
          <w:sz w:val="24"/>
          <w:szCs w:val="24"/>
        </w:rPr>
        <w:t>2.开标</w:t>
      </w:r>
    </w:p>
    <w:p>
      <w:pPr>
        <w:pStyle w:val="18"/>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8"/>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8"/>
        <w:numPr>
          <w:ilvl w:val="0"/>
          <w:numId w:val="0"/>
        </w:numPr>
        <w:ind w:left="420" w:leftChars="200"/>
        <w:rPr>
          <w:b/>
          <w:sz w:val="24"/>
          <w:szCs w:val="24"/>
        </w:rPr>
      </w:pPr>
      <w:r>
        <w:rPr>
          <w:rFonts w:hint="eastAsia"/>
          <w:b/>
          <w:sz w:val="24"/>
          <w:szCs w:val="24"/>
        </w:rPr>
        <w:t>2.采购人拒绝投标的权利</w:t>
      </w:r>
    </w:p>
    <w:p>
      <w:pPr>
        <w:pStyle w:val="18"/>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8"/>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8"/>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8"/>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7"/>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color w:val="000000"/>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项目概况及服务要求</w:t>
      </w:r>
    </w:p>
    <w:p>
      <w:pPr>
        <w:ind w:firstLine="482" w:firstLineChars="200"/>
        <w:rPr>
          <w:rFonts w:ascii="宋体" w:hAnsi="宋体"/>
          <w:b/>
          <w:bCs/>
          <w:sz w:val="24"/>
        </w:rPr>
      </w:pPr>
    </w:p>
    <w:p>
      <w:pPr>
        <w:ind w:firstLine="482" w:firstLineChars="200"/>
        <w:rPr>
          <w:rFonts w:ascii="宋体" w:hAnsi="宋体"/>
          <w:b/>
          <w:bCs/>
          <w:sz w:val="24"/>
        </w:rPr>
      </w:pPr>
      <w:r>
        <w:rPr>
          <w:rFonts w:hint="eastAsia" w:ascii="宋体" w:hAnsi="宋体"/>
          <w:b/>
          <w:bCs/>
          <w:sz w:val="24"/>
        </w:rPr>
        <w:t>一、项目概况</w:t>
      </w:r>
    </w:p>
    <w:p>
      <w:pPr>
        <w:ind w:firstLine="480" w:firstLineChars="200"/>
        <w:rPr>
          <w:rFonts w:ascii="宋体" w:hAnsi="宋体"/>
          <w:b/>
          <w:bCs/>
          <w:sz w:val="24"/>
        </w:rPr>
      </w:pPr>
      <w:r>
        <w:rPr>
          <w:rFonts w:hint="eastAsia" w:ascii="宋体" w:hAnsi="宋体"/>
          <w:sz w:val="24"/>
        </w:rPr>
        <w:t>江苏师范大学科文学院在校生13000余人（近两年</w:t>
      </w:r>
      <w:r>
        <w:rPr>
          <w:rFonts w:hint="eastAsia" w:ascii="宋体" w:hAnsi="宋体"/>
          <w:sz w:val="24"/>
          <w:lang w:val="en-US" w:eastAsia="zh-CN"/>
        </w:rPr>
        <w:t>将</w:t>
      </w:r>
      <w:r>
        <w:rPr>
          <w:rFonts w:hint="eastAsia" w:ascii="宋体" w:hAnsi="宋体"/>
          <w:sz w:val="24"/>
        </w:rPr>
        <w:t>增至18000余人），院内设有一食堂、二食堂两个</w:t>
      </w:r>
      <w:r>
        <w:rPr>
          <w:rFonts w:hint="eastAsia" w:ascii="宋体" w:hAnsi="宋体"/>
          <w:color w:val="auto"/>
          <w:sz w:val="24"/>
        </w:rPr>
        <w:t>食堂。该</w:t>
      </w:r>
      <w:r>
        <w:rPr>
          <w:rFonts w:hint="eastAsia" w:ascii="宋体" w:hAnsi="宋体"/>
          <w:color w:val="auto"/>
          <w:sz w:val="24"/>
          <w:lang w:val="en-US" w:eastAsia="zh-CN"/>
        </w:rPr>
        <w:t>项目共计2处规划区域，第一处</w:t>
      </w:r>
      <w:r>
        <w:rPr>
          <w:rFonts w:hint="eastAsia" w:ascii="宋体" w:hAnsi="宋体"/>
          <w:color w:val="auto"/>
          <w:sz w:val="24"/>
        </w:rPr>
        <w:t>位于图书馆三层北侧走廊、东研讨室及北平台，使用面积约100平方米；</w:t>
      </w:r>
      <w:r>
        <w:rPr>
          <w:rFonts w:hint="eastAsia" w:ascii="宋体" w:hAnsi="宋体"/>
          <w:color w:val="auto"/>
          <w:sz w:val="24"/>
          <w:lang w:val="en-US" w:eastAsia="zh-CN"/>
        </w:rPr>
        <w:t>第二处位于</w:t>
      </w:r>
      <w:r>
        <w:rPr>
          <w:rFonts w:hint="eastAsia" w:ascii="宋体" w:hAnsi="宋体"/>
          <w:color w:val="auto"/>
          <w:sz w:val="24"/>
        </w:rPr>
        <w:t>大学生活动中心一层西侧招聘大厅、咨询室和办公室，使用面积约260平方米。</w:t>
      </w:r>
      <w:r>
        <w:rPr>
          <w:rFonts w:hint="eastAsia" w:ascii="宋体" w:hAnsi="宋体"/>
          <w:b/>
          <w:bCs/>
          <w:sz w:val="24"/>
        </w:rPr>
        <w:t>（注：详情可参考附件</w:t>
      </w:r>
      <w:r>
        <w:rPr>
          <w:rFonts w:hint="eastAsia" w:ascii="宋体" w:hAnsi="宋体"/>
          <w:b/>
          <w:bCs/>
          <w:sz w:val="24"/>
          <w:lang w:val="en-US" w:eastAsia="zh-CN"/>
        </w:rPr>
        <w:t>1</w:t>
      </w:r>
      <w:r>
        <w:rPr>
          <w:rFonts w:hint="eastAsia" w:ascii="宋体" w:hAnsi="宋体"/>
          <w:b/>
          <w:bCs/>
          <w:sz w:val="24"/>
          <w:lang w:eastAsia="zh-CN"/>
        </w:rPr>
        <w:t>，</w:t>
      </w:r>
      <w:r>
        <w:rPr>
          <w:rFonts w:hint="eastAsia" w:ascii="宋体" w:hAnsi="宋体"/>
          <w:b/>
          <w:bCs/>
          <w:sz w:val="24"/>
          <w:shd w:val="clear"/>
          <w:lang w:val="en-US" w:eastAsia="zh-CN"/>
        </w:rPr>
        <w:t>项目规划区域的实际使用面积以现场勘查为准，投标人须在项目经营方案中体现。</w:t>
      </w:r>
      <w:r>
        <w:rPr>
          <w:rFonts w:hint="eastAsia" w:ascii="宋体" w:hAnsi="宋体"/>
          <w:b/>
          <w:bCs/>
          <w:sz w:val="24"/>
        </w:rPr>
        <w:t>）</w:t>
      </w:r>
    </w:p>
    <w:p>
      <w:pPr>
        <w:ind w:firstLine="482" w:firstLineChars="200"/>
        <w:rPr>
          <w:rFonts w:ascii="宋体" w:hAnsi="宋体"/>
          <w:b/>
          <w:bCs/>
          <w:sz w:val="24"/>
        </w:rPr>
      </w:pPr>
      <w:r>
        <w:rPr>
          <w:rFonts w:hint="eastAsia" w:ascii="宋体" w:hAnsi="宋体"/>
          <w:b/>
          <w:bCs/>
          <w:sz w:val="24"/>
        </w:rPr>
        <w:t>二、项目定位与经营范围</w:t>
      </w:r>
    </w:p>
    <w:p>
      <w:pPr>
        <w:shd w:val="clear"/>
        <w:ind w:firstLine="482" w:firstLineChars="200"/>
        <w:rPr>
          <w:rFonts w:ascii="宋体" w:hAnsi="宋体"/>
          <w:color w:val="auto"/>
          <w:sz w:val="24"/>
        </w:rPr>
      </w:pPr>
      <w:r>
        <w:rPr>
          <w:rFonts w:hint="eastAsia" w:ascii="宋体" w:hAnsi="宋体"/>
          <w:b/>
          <w:bCs/>
          <w:color w:val="auto"/>
          <w:sz w:val="24"/>
        </w:rPr>
        <w:t>项目定位</w:t>
      </w:r>
      <w:r>
        <w:rPr>
          <w:rFonts w:hint="eastAsia" w:ascii="宋体" w:hAnsi="宋体"/>
          <w:b/>
          <w:bCs/>
          <w:color w:val="auto"/>
          <w:sz w:val="24"/>
          <w:lang w:eastAsia="zh-CN"/>
        </w:rPr>
        <w:t>：</w:t>
      </w:r>
      <w:r>
        <w:rPr>
          <w:rFonts w:hint="eastAsia" w:ascii="宋体" w:hAnsi="宋体"/>
          <w:b w:val="0"/>
          <w:bCs w:val="0"/>
          <w:color w:val="auto"/>
          <w:sz w:val="24"/>
          <w:lang w:val="en-US" w:eastAsia="zh-CN"/>
        </w:rPr>
        <w:t>该项目</w:t>
      </w:r>
      <w:r>
        <w:rPr>
          <w:rFonts w:hint="eastAsia" w:ascii="宋体" w:hAnsi="宋体"/>
          <w:color w:val="auto"/>
          <w:sz w:val="24"/>
        </w:rPr>
        <w:t>为对学院原食堂餐饮的有效补充，经营品牌以国内外</w:t>
      </w:r>
      <w:r>
        <w:rPr>
          <w:rFonts w:hint="eastAsia" w:ascii="宋体" w:hAnsi="宋体"/>
          <w:color w:val="auto"/>
          <w:sz w:val="24"/>
          <w:shd w:val="clear"/>
          <w:lang w:val="en-US" w:eastAsia="zh-CN"/>
        </w:rPr>
        <w:t>公认</w:t>
      </w:r>
      <w:r>
        <w:rPr>
          <w:rFonts w:hint="eastAsia" w:ascii="宋体" w:hAnsi="宋体"/>
          <w:color w:val="auto"/>
          <w:sz w:val="24"/>
        </w:rPr>
        <w:t>品牌及师生认可的网红店</w:t>
      </w:r>
      <w:r>
        <w:rPr>
          <w:rFonts w:hint="eastAsia" w:ascii="宋体" w:hAnsi="宋体"/>
          <w:color w:val="auto"/>
          <w:sz w:val="24"/>
          <w:lang w:val="en-US" w:eastAsia="zh-CN"/>
        </w:rPr>
        <w:t>为主</w:t>
      </w:r>
      <w:r>
        <w:rPr>
          <w:rFonts w:hint="eastAsia" w:ascii="宋体" w:hAnsi="宋体"/>
          <w:color w:val="auto"/>
          <w:sz w:val="24"/>
        </w:rPr>
        <w:t>，餐厅内外符合院园主色调，融入院园文化，打造文化休闲生活体验中心综合体。以多元化、微利化经营为目标，满足当代大学生的消费心理和多功能化需求。</w:t>
      </w:r>
    </w:p>
    <w:p>
      <w:pPr>
        <w:shd w:val="clear"/>
        <w:ind w:firstLine="482" w:firstLineChars="200"/>
        <w:rPr>
          <w:rFonts w:ascii="宋体" w:hAnsi="宋体"/>
          <w:color w:val="auto"/>
          <w:sz w:val="24"/>
        </w:rPr>
      </w:pPr>
      <w:r>
        <w:rPr>
          <w:rFonts w:hint="eastAsia" w:ascii="宋体" w:hAnsi="宋体"/>
          <w:b/>
          <w:bCs/>
          <w:color w:val="auto"/>
          <w:sz w:val="24"/>
        </w:rPr>
        <w:t>经营范围</w:t>
      </w:r>
      <w:r>
        <w:rPr>
          <w:rFonts w:hint="eastAsia" w:ascii="宋体" w:hAnsi="宋体"/>
          <w:b/>
          <w:bCs/>
          <w:color w:val="auto"/>
          <w:sz w:val="24"/>
          <w:lang w:eastAsia="zh-CN"/>
        </w:rPr>
        <w:t>：</w:t>
      </w:r>
      <w:r>
        <w:rPr>
          <w:rFonts w:hint="eastAsia" w:ascii="宋体" w:hAnsi="宋体"/>
          <w:color w:val="auto"/>
          <w:sz w:val="24"/>
        </w:rPr>
        <w:t>以烘焙、咖啡、甜品（含冰淇淋）、西式快餐（冷餐、汉堡、三明治等）、鲜蔬饮料为主</w:t>
      </w:r>
      <w:r>
        <w:rPr>
          <w:rFonts w:hint="eastAsia" w:ascii="宋体" w:hAnsi="宋体"/>
          <w:b/>
          <w:bCs/>
          <w:color w:val="auto"/>
          <w:sz w:val="24"/>
        </w:rPr>
        <w:t>（注：该项目所引进或经营的品牌不得与学院现有</w:t>
      </w:r>
      <w:r>
        <w:rPr>
          <w:rFonts w:hint="eastAsia" w:ascii="宋体" w:hAnsi="宋体"/>
          <w:b/>
          <w:bCs/>
          <w:color w:val="auto"/>
          <w:sz w:val="24"/>
          <w:lang w:val="en-US" w:eastAsia="zh-CN"/>
        </w:rPr>
        <w:t>经营</w:t>
      </w:r>
      <w:r>
        <w:rPr>
          <w:rFonts w:hint="eastAsia" w:ascii="宋体" w:hAnsi="宋体"/>
          <w:b/>
          <w:bCs/>
          <w:color w:val="auto"/>
          <w:sz w:val="24"/>
        </w:rPr>
        <w:t>品牌重叠</w:t>
      </w:r>
      <w:r>
        <w:rPr>
          <w:rFonts w:hint="eastAsia" w:ascii="宋体" w:hAnsi="宋体"/>
          <w:b/>
          <w:bCs/>
          <w:color w:val="auto"/>
          <w:sz w:val="24"/>
          <w:lang w:eastAsia="zh-CN"/>
        </w:rPr>
        <w:t>，</w:t>
      </w:r>
      <w:r>
        <w:rPr>
          <w:rFonts w:hint="eastAsia" w:ascii="宋体" w:hAnsi="宋体"/>
          <w:b/>
          <w:bCs/>
          <w:color w:val="auto"/>
          <w:sz w:val="24"/>
          <w:lang w:val="en-US" w:eastAsia="zh-CN"/>
        </w:rPr>
        <w:t>学院现有轻食类经营品牌见附件2</w:t>
      </w:r>
      <w:r>
        <w:rPr>
          <w:rFonts w:hint="eastAsia" w:ascii="宋体" w:hAnsi="宋体"/>
          <w:b/>
          <w:bCs/>
          <w:color w:val="auto"/>
          <w:sz w:val="24"/>
        </w:rPr>
        <w:t>）</w:t>
      </w:r>
      <w:r>
        <w:rPr>
          <w:rFonts w:hint="eastAsia" w:ascii="宋体" w:hAnsi="宋体"/>
          <w:color w:val="auto"/>
          <w:sz w:val="24"/>
        </w:rPr>
        <w:t>。如需新增品种须经</w:t>
      </w:r>
      <w:r>
        <w:rPr>
          <w:rFonts w:hint="eastAsia" w:ascii="宋体" w:hAnsi="宋体"/>
          <w:color w:val="auto"/>
          <w:sz w:val="24"/>
          <w:lang w:val="en-US" w:eastAsia="zh-CN"/>
        </w:rPr>
        <w:t>学院</w:t>
      </w:r>
      <w:r>
        <w:rPr>
          <w:rFonts w:hint="eastAsia" w:ascii="宋体" w:hAnsi="宋体"/>
          <w:color w:val="auto"/>
          <w:sz w:val="24"/>
        </w:rPr>
        <w:t>商业饮食管理中心批准后方可经营。</w:t>
      </w:r>
    </w:p>
    <w:p>
      <w:pPr>
        <w:ind w:firstLine="482" w:firstLineChars="200"/>
        <w:rPr>
          <w:rFonts w:hint="eastAsia" w:ascii="宋体" w:hAnsi="宋体"/>
          <w:b/>
          <w:bCs/>
          <w:sz w:val="24"/>
        </w:rPr>
      </w:pPr>
      <w:r>
        <w:rPr>
          <w:rFonts w:hint="eastAsia" w:ascii="宋体" w:hAnsi="宋体"/>
          <w:b/>
          <w:bCs/>
          <w:sz w:val="24"/>
        </w:rPr>
        <w:t>服务范围：包含餐厅日常经营与配套服务，餐厅内设施设备巡检维护，经营期间的安全责任。</w:t>
      </w:r>
    </w:p>
    <w:p>
      <w:pPr>
        <w:ind w:firstLine="482" w:firstLineChars="200"/>
        <w:rPr>
          <w:rFonts w:ascii="宋体" w:hAnsi="宋体"/>
          <w:sz w:val="24"/>
        </w:rPr>
      </w:pPr>
      <w:r>
        <w:rPr>
          <w:rFonts w:hint="eastAsia" w:ascii="宋体" w:hAnsi="宋体"/>
          <w:b/>
          <w:bCs/>
          <w:sz w:val="24"/>
        </w:rPr>
        <w:t>三、经营方式</w:t>
      </w:r>
    </w:p>
    <w:p>
      <w:pPr>
        <w:ind w:firstLine="480" w:firstLineChars="200"/>
        <w:rPr>
          <w:rFonts w:ascii="宋体" w:hAnsi="宋体"/>
          <w:sz w:val="24"/>
        </w:rPr>
      </w:pPr>
      <w:r>
        <w:rPr>
          <w:rFonts w:hint="eastAsia" w:ascii="宋体" w:hAnsi="宋体"/>
          <w:sz w:val="24"/>
        </w:rPr>
        <w:t>日常经营及配套服务；自主经营，自负盈亏，自担风险。</w:t>
      </w:r>
    </w:p>
    <w:p>
      <w:pPr>
        <w:ind w:firstLine="482" w:firstLineChars="200"/>
        <w:rPr>
          <w:rFonts w:ascii="宋体" w:hAnsi="宋体"/>
          <w:b/>
          <w:bCs/>
          <w:sz w:val="24"/>
        </w:rPr>
      </w:pPr>
      <w:r>
        <w:rPr>
          <w:rFonts w:hint="eastAsia" w:ascii="宋体" w:hAnsi="宋体"/>
          <w:b/>
          <w:bCs/>
          <w:sz w:val="24"/>
        </w:rPr>
        <w:t>四、经营周期</w:t>
      </w:r>
    </w:p>
    <w:p>
      <w:pPr>
        <w:pStyle w:val="2"/>
        <w:spacing w:before="0" w:after="0" w:line="240" w:lineRule="auto"/>
        <w:ind w:firstLine="480" w:firstLineChars="200"/>
        <w:rPr>
          <w:rFonts w:ascii="宋体" w:hAnsi="宋体" w:eastAsia="宋体"/>
          <w:b w:val="0"/>
          <w:bCs w:val="0"/>
          <w:sz w:val="24"/>
          <w:szCs w:val="24"/>
        </w:rPr>
      </w:pPr>
      <w:r>
        <w:rPr>
          <w:rFonts w:hint="eastAsia" w:ascii="宋体" w:hAnsi="宋体" w:eastAsia="宋体"/>
          <w:b w:val="0"/>
          <w:bCs w:val="0"/>
          <w:sz w:val="24"/>
          <w:szCs w:val="24"/>
        </w:rPr>
        <w:t>见第一章</w:t>
      </w:r>
    </w:p>
    <w:p>
      <w:pPr>
        <w:ind w:firstLine="482" w:firstLineChars="200"/>
        <w:rPr>
          <w:rFonts w:ascii="宋体" w:hAnsi="宋体"/>
          <w:b/>
          <w:bCs/>
          <w:sz w:val="24"/>
        </w:rPr>
      </w:pPr>
      <w:r>
        <w:rPr>
          <w:rFonts w:hint="eastAsia" w:ascii="宋体" w:hAnsi="宋体"/>
          <w:b/>
          <w:bCs/>
          <w:sz w:val="24"/>
        </w:rPr>
        <w:t>五、设施设备</w:t>
      </w:r>
    </w:p>
    <w:p>
      <w:pPr>
        <w:ind w:firstLine="482" w:firstLineChars="200"/>
        <w:rPr>
          <w:rFonts w:ascii="宋体" w:hAnsi="宋体"/>
          <w:b/>
          <w:bCs/>
          <w:sz w:val="24"/>
        </w:rPr>
      </w:pPr>
      <w:r>
        <w:rPr>
          <w:rFonts w:hint="eastAsia" w:ascii="宋体" w:hAnsi="宋体"/>
          <w:b/>
          <w:bCs/>
          <w:sz w:val="24"/>
        </w:rPr>
        <w:t>（一）能源</w:t>
      </w:r>
    </w:p>
    <w:p>
      <w:pPr>
        <w:ind w:firstLine="480" w:firstLineChars="200"/>
        <w:rPr>
          <w:rFonts w:ascii="宋体" w:hAnsi="宋体"/>
          <w:sz w:val="24"/>
        </w:rPr>
      </w:pPr>
      <w:r>
        <w:rPr>
          <w:rFonts w:hint="eastAsia" w:ascii="宋体" w:hAnsi="宋体"/>
          <w:sz w:val="24"/>
        </w:rPr>
        <w:t>1.餐厅满足动力电需求（禁止使用明火设施设备），经营水电等费用按院内用水用电标准计费。</w:t>
      </w:r>
    </w:p>
    <w:p>
      <w:pPr>
        <w:ind w:firstLine="482" w:firstLineChars="200"/>
        <w:rPr>
          <w:rFonts w:ascii="宋体" w:hAnsi="宋体"/>
          <w:b/>
          <w:bCs/>
          <w:sz w:val="24"/>
        </w:rPr>
      </w:pPr>
      <w:r>
        <w:rPr>
          <w:rFonts w:hint="eastAsia" w:ascii="宋体" w:hAnsi="宋体"/>
          <w:b/>
          <w:bCs/>
          <w:sz w:val="24"/>
        </w:rPr>
        <w:t>（二）设施设备</w:t>
      </w:r>
    </w:p>
    <w:p>
      <w:pPr>
        <w:ind w:firstLine="480" w:firstLineChars="200"/>
        <w:rPr>
          <w:rFonts w:ascii="宋体" w:hAnsi="宋体"/>
          <w:sz w:val="24"/>
        </w:rPr>
      </w:pPr>
      <w:r>
        <w:rPr>
          <w:rFonts w:hint="eastAsia" w:ascii="宋体" w:hAnsi="宋体"/>
          <w:sz w:val="24"/>
        </w:rPr>
        <w:t>1.建筑及其配套设备。院方免费提供的以实地踏勘为准。日常经营中的其它厨房、售卖、供餐设备由中标人自行配备。</w:t>
      </w:r>
    </w:p>
    <w:p>
      <w:pPr>
        <w:ind w:firstLine="480" w:firstLineChars="200"/>
        <w:rPr>
          <w:rFonts w:ascii="宋体" w:hAnsi="宋体"/>
          <w:color w:val="FF0000"/>
          <w:sz w:val="24"/>
        </w:rPr>
      </w:pPr>
      <w:r>
        <w:rPr>
          <w:rFonts w:hint="eastAsia" w:ascii="宋体" w:hAnsi="宋体"/>
          <w:sz w:val="24"/>
        </w:rPr>
        <w:t>2.装饰装潢。由中标人依据其投标文件明确并获得招标人同意的设计方案为准，自行施工、验收、使用，并承担由于此项工程产生的全部费用，施工过程中的安全责任、消防验收由中标人承担。装潢后，投入使用前，室内环境须符合国家相关标准要求。</w:t>
      </w:r>
    </w:p>
    <w:p>
      <w:pPr>
        <w:ind w:firstLine="480" w:firstLineChars="200"/>
        <w:rPr>
          <w:rFonts w:ascii="宋体" w:hAnsi="宋体"/>
          <w:sz w:val="24"/>
        </w:rPr>
      </w:pPr>
      <w:r>
        <w:rPr>
          <w:rFonts w:hint="eastAsia" w:ascii="宋体" w:hAnsi="宋体"/>
          <w:sz w:val="24"/>
        </w:rPr>
        <w:t>3.经营期间纳入院方统一管理，由招标人免费提供的建筑及其附属设施、其他设备，中标人负有巡检、报修责任。中标人经营期间自行投入的设施设备自负其责。</w:t>
      </w:r>
    </w:p>
    <w:p>
      <w:pPr>
        <w:ind w:firstLine="480" w:firstLineChars="200"/>
        <w:rPr>
          <w:rFonts w:hint="eastAsia" w:ascii="宋体" w:hAnsi="宋体"/>
          <w:sz w:val="24"/>
        </w:rPr>
      </w:pPr>
      <w:r>
        <w:rPr>
          <w:rFonts w:hint="eastAsia" w:ascii="宋体" w:hAnsi="宋体"/>
          <w:sz w:val="24"/>
        </w:rPr>
        <w:t>4.经营中须实行“名厨亮灶”工程。就餐师生在餐厅可以看到菜肴现场加工、生产过程，可以看到工作人员实时工作状态。方案实施配备的设备、设施本体及安装调试等费用由中标人承担。</w:t>
      </w:r>
    </w:p>
    <w:p>
      <w:pPr>
        <w:shd w:val="clear"/>
        <w:ind w:firstLine="480" w:firstLineChars="200"/>
        <w:rPr>
          <w:rFonts w:hint="eastAsia" w:ascii="宋体" w:hAnsi="宋体"/>
          <w:sz w:val="24"/>
        </w:rPr>
      </w:pPr>
      <w:r>
        <w:rPr>
          <w:rFonts w:hint="eastAsia" w:ascii="宋体" w:hAnsi="宋体"/>
          <w:sz w:val="24"/>
        </w:rPr>
        <w:t>5.本项目中标人所投入的装饰装潢及其配套设备资金要求</w:t>
      </w:r>
      <w:r>
        <w:rPr>
          <w:rFonts w:hint="eastAsia" w:ascii="宋体" w:hAnsi="宋体"/>
          <w:b/>
          <w:bCs/>
          <w:sz w:val="24"/>
          <w:shd w:val="clear"/>
        </w:rPr>
        <w:t>不低于人民币80万元。</w:t>
      </w:r>
      <w:r>
        <w:rPr>
          <w:rFonts w:hint="eastAsia" w:ascii="宋体" w:hAnsi="宋体"/>
          <w:sz w:val="24"/>
        </w:rPr>
        <w:t>营业前中标人须提供投资说明及单据，不足部分予以补齐方可开业。</w:t>
      </w:r>
    </w:p>
    <w:p>
      <w:pPr>
        <w:ind w:firstLine="482" w:firstLineChars="200"/>
        <w:rPr>
          <w:rFonts w:ascii="宋体" w:hAnsi="宋体"/>
          <w:b/>
          <w:bCs/>
          <w:sz w:val="24"/>
        </w:rPr>
      </w:pPr>
      <w:r>
        <w:rPr>
          <w:rFonts w:hint="eastAsia" w:ascii="宋体" w:hAnsi="宋体"/>
          <w:b/>
          <w:bCs/>
          <w:sz w:val="24"/>
        </w:rPr>
        <w:t>六、主、副食材供应</w:t>
      </w:r>
    </w:p>
    <w:p>
      <w:pPr>
        <w:ind w:firstLine="480" w:firstLineChars="200"/>
        <w:rPr>
          <w:rFonts w:ascii="宋体" w:hAnsi="宋体"/>
          <w:sz w:val="24"/>
        </w:rPr>
      </w:pPr>
      <w:r>
        <w:rPr>
          <w:rFonts w:hint="eastAsia" w:ascii="宋体" w:hAnsi="宋体"/>
          <w:sz w:val="24"/>
        </w:rPr>
        <w:t>主副食材原则上由中标人自采。如学院另有规定，根据学院最新要求。</w:t>
      </w:r>
    </w:p>
    <w:p>
      <w:pPr>
        <w:ind w:firstLine="482" w:firstLineChars="200"/>
        <w:rPr>
          <w:rFonts w:ascii="宋体" w:hAnsi="宋体"/>
          <w:b/>
          <w:bCs/>
          <w:sz w:val="24"/>
        </w:rPr>
      </w:pPr>
      <w:r>
        <w:rPr>
          <w:rFonts w:hint="eastAsia" w:ascii="宋体" w:hAnsi="宋体"/>
          <w:b/>
          <w:bCs/>
          <w:sz w:val="24"/>
        </w:rPr>
        <w:t>七、结算管理</w:t>
      </w:r>
    </w:p>
    <w:p>
      <w:pPr>
        <w:ind w:firstLine="482" w:firstLineChars="200"/>
        <w:rPr>
          <w:rFonts w:ascii="宋体" w:hAnsi="宋体"/>
          <w:b/>
          <w:bCs/>
          <w:sz w:val="24"/>
        </w:rPr>
      </w:pPr>
      <w:r>
        <w:rPr>
          <w:rFonts w:hint="eastAsia" w:ascii="宋体" w:hAnsi="宋体"/>
          <w:b/>
          <w:bCs/>
          <w:sz w:val="24"/>
        </w:rPr>
        <w:t>（一）师生消费支付结算方式</w:t>
      </w:r>
    </w:p>
    <w:p>
      <w:pPr>
        <w:ind w:firstLine="480" w:firstLineChars="200"/>
        <w:rPr>
          <w:rFonts w:ascii="宋体" w:hAnsi="宋体"/>
          <w:color w:val="auto"/>
          <w:sz w:val="24"/>
        </w:rPr>
      </w:pPr>
      <w:r>
        <w:rPr>
          <w:rFonts w:hint="eastAsia" w:ascii="宋体" w:hAnsi="宋体"/>
          <w:color w:val="auto"/>
          <w:sz w:val="24"/>
        </w:rPr>
        <w:t>使用院方提供的结算方式进行消费支付。（注：使用校园一卡通、支付宝等系统结算，院方对食堂收付款进行统一管理。）</w:t>
      </w:r>
    </w:p>
    <w:p>
      <w:pPr>
        <w:ind w:firstLine="482" w:firstLineChars="200"/>
        <w:rPr>
          <w:rFonts w:ascii="宋体" w:hAnsi="宋体"/>
          <w:b/>
          <w:bCs/>
          <w:sz w:val="24"/>
        </w:rPr>
      </w:pPr>
      <w:r>
        <w:rPr>
          <w:rFonts w:hint="eastAsia" w:ascii="宋体" w:hAnsi="宋体"/>
          <w:b/>
          <w:bCs/>
          <w:sz w:val="24"/>
        </w:rPr>
        <w:t>（二）经营费用</w:t>
      </w:r>
    </w:p>
    <w:p>
      <w:pPr>
        <w:ind w:firstLine="480" w:firstLineChars="200"/>
        <w:rPr>
          <w:rFonts w:hint="eastAsia" w:ascii="宋体" w:hAnsi="宋体"/>
          <w:sz w:val="24"/>
        </w:rPr>
      </w:pPr>
      <w:r>
        <w:rPr>
          <w:rFonts w:hint="eastAsia" w:ascii="宋体" w:hAnsi="宋体"/>
          <w:sz w:val="24"/>
        </w:rPr>
        <w:t>中标人经营本餐厅期间发生的水、电、原料、售饭系统及POS机使用费、劳务费、设施设备购置费、维修费、垃圾收集与清运费、物业保洁费、内部管理费等费用，均由中标人自行承担。</w:t>
      </w:r>
    </w:p>
    <w:p>
      <w:pPr>
        <w:shd w:val="clear"/>
        <w:ind w:firstLine="482" w:firstLineChars="200"/>
        <w:rPr>
          <w:rFonts w:hint="eastAsia" w:ascii="宋体" w:hAnsi="宋体"/>
          <w:b/>
          <w:bCs/>
          <w:color w:val="auto"/>
          <w:sz w:val="24"/>
        </w:rPr>
      </w:pPr>
      <w:r>
        <w:rPr>
          <w:rFonts w:hint="eastAsia" w:ascii="宋体" w:hAnsi="宋体"/>
          <w:b/>
          <w:bCs/>
          <w:color w:val="auto"/>
          <w:sz w:val="24"/>
        </w:rPr>
        <w:t>（三）人员安置</w:t>
      </w:r>
    </w:p>
    <w:p>
      <w:pPr>
        <w:shd w:val="clear"/>
        <w:ind w:firstLine="480" w:firstLineChars="200"/>
        <w:rPr>
          <w:color w:val="auto"/>
        </w:rPr>
      </w:pPr>
      <w:r>
        <w:rPr>
          <w:rFonts w:hint="eastAsia" w:ascii="宋体" w:hAnsi="宋体"/>
          <w:color w:val="auto"/>
          <w:sz w:val="24"/>
        </w:rPr>
        <w:t>根据需要，</w:t>
      </w:r>
      <w:r>
        <w:rPr>
          <w:rFonts w:hint="eastAsia" w:ascii="宋体" w:hAnsi="宋体"/>
          <w:color w:val="auto"/>
          <w:sz w:val="24"/>
          <w:lang w:val="en-US" w:eastAsia="zh-CN"/>
        </w:rPr>
        <w:t>院</w:t>
      </w:r>
      <w:r>
        <w:rPr>
          <w:rFonts w:hint="eastAsia" w:ascii="宋体" w:hAnsi="宋体"/>
          <w:color w:val="auto"/>
          <w:sz w:val="24"/>
        </w:rPr>
        <w:t>方安排</w:t>
      </w:r>
      <w:r>
        <w:rPr>
          <w:rFonts w:hint="eastAsia" w:ascii="宋体" w:hAnsi="宋体"/>
          <w:b/>
          <w:bCs/>
          <w:color w:val="auto"/>
          <w:sz w:val="24"/>
        </w:rPr>
        <w:t>1名</w:t>
      </w:r>
      <w:r>
        <w:rPr>
          <w:rFonts w:hint="eastAsia" w:ascii="宋体" w:hAnsi="宋体"/>
          <w:color w:val="auto"/>
          <w:sz w:val="24"/>
        </w:rPr>
        <w:t>工作人员作为食品安全管理员，负责日常食品卫生安全监督管理工作，其人员薪酬标准由</w:t>
      </w:r>
      <w:r>
        <w:rPr>
          <w:rFonts w:hint="eastAsia" w:ascii="宋体" w:hAnsi="宋体"/>
          <w:color w:val="auto"/>
          <w:sz w:val="24"/>
          <w:lang w:eastAsia="zh-CN"/>
        </w:rPr>
        <w:t>院</w:t>
      </w:r>
      <w:r>
        <w:rPr>
          <w:rFonts w:hint="eastAsia" w:ascii="宋体" w:hAnsi="宋体"/>
          <w:color w:val="auto"/>
          <w:sz w:val="24"/>
        </w:rPr>
        <w:t>方确定，合作单位承担。</w:t>
      </w:r>
    </w:p>
    <w:p>
      <w:pPr>
        <w:ind w:firstLine="482" w:firstLineChars="200"/>
        <w:rPr>
          <w:rFonts w:ascii="宋体" w:hAnsi="宋体"/>
          <w:b/>
          <w:bCs/>
          <w:sz w:val="24"/>
        </w:rPr>
      </w:pPr>
      <w:r>
        <w:rPr>
          <w:rFonts w:hint="eastAsia" w:ascii="宋体" w:hAnsi="宋体"/>
          <w:b/>
          <w:bCs/>
          <w:sz w:val="24"/>
        </w:rPr>
        <w:t>（</w:t>
      </w:r>
      <w:r>
        <w:rPr>
          <w:rFonts w:hint="eastAsia" w:ascii="宋体" w:hAnsi="宋体"/>
          <w:b/>
          <w:bCs/>
          <w:sz w:val="24"/>
          <w:lang w:val="en-US" w:eastAsia="zh-CN"/>
        </w:rPr>
        <w:t>四</w:t>
      </w:r>
      <w:r>
        <w:rPr>
          <w:rFonts w:hint="eastAsia" w:ascii="宋体" w:hAnsi="宋体"/>
          <w:b/>
          <w:bCs/>
          <w:sz w:val="24"/>
        </w:rPr>
        <w:t>）院方对中标人结算方式</w:t>
      </w:r>
    </w:p>
    <w:p>
      <w:pPr>
        <w:ind w:firstLine="480" w:firstLineChars="200"/>
        <w:rPr>
          <w:rFonts w:ascii="宋体" w:hAnsi="宋体"/>
          <w:sz w:val="24"/>
        </w:rPr>
      </w:pPr>
      <w:r>
        <w:rPr>
          <w:rFonts w:hint="eastAsia" w:ascii="宋体" w:hAnsi="宋体"/>
          <w:sz w:val="24"/>
        </w:rPr>
        <w:t>每月由院方计划财务处从当月营业收入中扣除水、电及其他相关费用后，剩余费用于次月15日前返还到中标人账户中。</w:t>
      </w:r>
    </w:p>
    <w:p>
      <w:pPr>
        <w:ind w:firstLine="482" w:firstLineChars="200"/>
        <w:rPr>
          <w:rFonts w:ascii="宋体" w:hAnsi="宋体"/>
          <w:b/>
          <w:bCs/>
          <w:sz w:val="24"/>
        </w:rPr>
      </w:pPr>
      <w:r>
        <w:rPr>
          <w:rFonts w:hint="eastAsia" w:ascii="宋体" w:hAnsi="宋体"/>
          <w:b/>
          <w:bCs/>
          <w:sz w:val="24"/>
        </w:rPr>
        <w:t>八、经营质量要求</w:t>
      </w:r>
    </w:p>
    <w:p>
      <w:pPr>
        <w:ind w:firstLine="482" w:firstLineChars="200"/>
        <w:rPr>
          <w:rFonts w:ascii="宋体" w:hAnsi="宋体"/>
          <w:b/>
          <w:bCs/>
          <w:sz w:val="24"/>
        </w:rPr>
      </w:pPr>
      <w:r>
        <w:rPr>
          <w:rFonts w:hint="eastAsia" w:ascii="宋体" w:hAnsi="宋体"/>
          <w:b/>
          <w:bCs/>
          <w:sz w:val="24"/>
        </w:rPr>
        <w:t>（一）经营指标</w:t>
      </w:r>
    </w:p>
    <w:p>
      <w:pPr>
        <w:shd w:val="clear"/>
        <w:ind w:firstLine="480" w:firstLineChars="200"/>
        <w:rPr>
          <w:rFonts w:ascii="宋体" w:hAnsi="宋体"/>
          <w:color w:val="auto"/>
          <w:sz w:val="24"/>
        </w:rPr>
      </w:pPr>
      <w:r>
        <w:rPr>
          <w:rFonts w:hint="eastAsia" w:ascii="宋体" w:hAnsi="宋体" w:cs="宋体"/>
          <w:color w:val="auto"/>
          <w:sz w:val="24"/>
        </w:rPr>
        <w:t>经营指标：每学年度营业总收入</w:t>
      </w:r>
      <w:r>
        <w:rPr>
          <w:rFonts w:hint="eastAsia" w:ascii="宋体" w:hAnsi="宋体" w:cs="宋体"/>
          <w:b/>
          <w:bCs/>
          <w:color w:val="auto"/>
          <w:sz w:val="24"/>
        </w:rPr>
        <w:t>不少于100万元</w:t>
      </w:r>
      <w:r>
        <w:rPr>
          <w:rFonts w:hint="eastAsia" w:ascii="宋体" w:hAnsi="宋体" w:cs="宋体"/>
          <w:color w:val="auto"/>
          <w:sz w:val="24"/>
        </w:rPr>
        <w:t>（因不可抗力因素造成指标未完成除外）。</w:t>
      </w:r>
    </w:p>
    <w:p>
      <w:pPr>
        <w:ind w:firstLine="482" w:firstLineChars="200"/>
        <w:rPr>
          <w:rFonts w:ascii="宋体" w:hAnsi="宋体"/>
          <w:b/>
          <w:bCs/>
          <w:sz w:val="24"/>
        </w:rPr>
      </w:pPr>
      <w:r>
        <w:rPr>
          <w:rFonts w:hint="eastAsia" w:ascii="宋体" w:hAnsi="宋体"/>
          <w:b/>
          <w:bCs/>
          <w:sz w:val="24"/>
        </w:rPr>
        <w:t>（二）经营质量标准</w:t>
      </w:r>
    </w:p>
    <w:p>
      <w:pPr>
        <w:ind w:firstLine="480" w:firstLineChars="200"/>
        <w:rPr>
          <w:rFonts w:ascii="宋体" w:hAnsi="宋体"/>
          <w:sz w:val="24"/>
        </w:rPr>
      </w:pPr>
      <w:r>
        <w:rPr>
          <w:rFonts w:hint="eastAsia" w:ascii="宋体" w:hAnsi="宋体"/>
          <w:sz w:val="24"/>
        </w:rPr>
        <w:t>1.经营场所：基本达到标准化餐厅建设要求，各功能区间齐全，布局合理，功能发挥正常。必要的场所装饰及设施设备维护到位。场所干净，就餐环境整洁，明厨亮灶，设施设备运转正常、维护正常。各类垃圾收集、清运符合餐饮行业技术要求。污水、烟气处理符合环保要求。安全设施符合消防要求。</w:t>
      </w:r>
    </w:p>
    <w:p>
      <w:pPr>
        <w:ind w:firstLine="480" w:firstLineChars="200"/>
        <w:rPr>
          <w:rFonts w:ascii="宋体" w:hAnsi="宋体"/>
          <w:sz w:val="24"/>
        </w:rPr>
      </w:pPr>
      <w:r>
        <w:rPr>
          <w:rFonts w:hint="eastAsia" w:ascii="宋体" w:hAnsi="宋体"/>
          <w:sz w:val="24"/>
        </w:rPr>
        <w:t>2.经营设备配备：齐全、完好，可以正常使用。</w:t>
      </w:r>
    </w:p>
    <w:p>
      <w:pPr>
        <w:ind w:firstLine="480" w:firstLineChars="200"/>
        <w:rPr>
          <w:rFonts w:ascii="宋体" w:hAnsi="宋体"/>
          <w:sz w:val="24"/>
        </w:rPr>
      </w:pPr>
      <w:r>
        <w:rPr>
          <w:rFonts w:hint="eastAsia" w:ascii="宋体" w:hAnsi="宋体"/>
          <w:sz w:val="24"/>
        </w:rPr>
        <w:t>3.食品质量：符合国家餐饮行业食品质量标准。</w:t>
      </w:r>
    </w:p>
    <w:p>
      <w:pPr>
        <w:ind w:firstLine="480" w:firstLineChars="200"/>
        <w:rPr>
          <w:rFonts w:ascii="宋体" w:hAnsi="宋体"/>
          <w:sz w:val="24"/>
        </w:rPr>
      </w:pPr>
      <w:r>
        <w:rPr>
          <w:rFonts w:hint="eastAsia" w:ascii="宋体" w:hAnsi="宋体"/>
          <w:sz w:val="24"/>
        </w:rPr>
        <w:t>4.食品卫生及安全：严格执行国家及省、市有关食品卫生及安全管理法律、法规，确保食品安全；从业人员符合管理规定，设施设备严格执行操作规程，及时消除安全隐患，确保生产安全。</w:t>
      </w:r>
      <w:r>
        <w:rPr>
          <w:rFonts w:hint="eastAsia"/>
        </w:rPr>
        <w:t xml:space="preserve"> </w:t>
      </w:r>
    </w:p>
    <w:p>
      <w:pPr>
        <w:ind w:firstLine="482" w:firstLineChars="200"/>
        <w:rPr>
          <w:rFonts w:ascii="宋体" w:hAnsi="宋体"/>
          <w:b/>
          <w:bCs/>
          <w:sz w:val="24"/>
        </w:rPr>
      </w:pPr>
      <w:r>
        <w:rPr>
          <w:rFonts w:hint="eastAsia" w:ascii="宋体" w:hAnsi="宋体"/>
          <w:b/>
          <w:bCs/>
          <w:sz w:val="24"/>
        </w:rPr>
        <w:t>九、经营费用</w:t>
      </w:r>
    </w:p>
    <w:p>
      <w:pPr>
        <w:ind w:firstLine="482" w:firstLineChars="200"/>
        <w:rPr>
          <w:rFonts w:ascii="宋体" w:hAnsi="宋体"/>
          <w:b/>
          <w:bCs/>
          <w:sz w:val="24"/>
        </w:rPr>
      </w:pPr>
      <w:r>
        <w:rPr>
          <w:rFonts w:hint="eastAsia" w:ascii="宋体" w:hAnsi="宋体"/>
          <w:b/>
          <w:bCs/>
          <w:sz w:val="24"/>
        </w:rPr>
        <w:t>（一）“零租赁”，免收管理费</w:t>
      </w:r>
    </w:p>
    <w:p>
      <w:pPr>
        <w:ind w:firstLine="480" w:firstLineChars="200"/>
        <w:rPr>
          <w:rFonts w:ascii="宋体" w:hAnsi="宋体"/>
          <w:sz w:val="24"/>
        </w:rPr>
      </w:pPr>
      <w:r>
        <w:rPr>
          <w:rFonts w:hint="eastAsia" w:ascii="宋体" w:hAnsi="宋体"/>
          <w:sz w:val="24"/>
        </w:rPr>
        <w:t>本项目实行“零租赁”，免收管理费，中标人在规定的经营范围内自主经营、独立核算，独立享有经营效益，独立承担经营风险，自主履行本项目经营合同规定的权利与义务。中标人经营本项目期间的全部费用均由其自行承担。</w:t>
      </w:r>
    </w:p>
    <w:p>
      <w:pPr>
        <w:ind w:firstLine="482" w:firstLineChars="200"/>
        <w:rPr>
          <w:rFonts w:ascii="宋体" w:hAnsi="宋体"/>
          <w:b/>
          <w:bCs/>
          <w:sz w:val="24"/>
        </w:rPr>
      </w:pPr>
      <w:r>
        <w:rPr>
          <w:rFonts w:hint="eastAsia" w:ascii="宋体" w:hAnsi="宋体"/>
          <w:b/>
          <w:bCs/>
          <w:sz w:val="24"/>
        </w:rPr>
        <w:t>（二）开业前投入</w:t>
      </w:r>
    </w:p>
    <w:p>
      <w:pPr>
        <w:ind w:firstLine="480" w:firstLineChars="200"/>
        <w:rPr>
          <w:rFonts w:ascii="宋体" w:hAnsi="宋体"/>
          <w:sz w:val="24"/>
        </w:rPr>
      </w:pPr>
      <w:r>
        <w:rPr>
          <w:rFonts w:hint="eastAsia" w:ascii="宋体" w:hAnsi="宋体"/>
          <w:sz w:val="24"/>
        </w:rPr>
        <w:t>1.经营场所的装饰装修费。</w:t>
      </w:r>
    </w:p>
    <w:p>
      <w:pPr>
        <w:ind w:firstLine="480" w:firstLineChars="200"/>
        <w:rPr>
          <w:rFonts w:ascii="宋体" w:hAnsi="宋体"/>
          <w:sz w:val="24"/>
        </w:rPr>
      </w:pPr>
      <w:r>
        <w:rPr>
          <w:rFonts w:hint="eastAsia" w:ascii="宋体" w:hAnsi="宋体"/>
          <w:sz w:val="24"/>
        </w:rPr>
        <w:t>2.自行投入的设施设备费。</w:t>
      </w:r>
    </w:p>
    <w:p>
      <w:pPr>
        <w:ind w:firstLine="480" w:firstLineChars="200"/>
        <w:rPr>
          <w:rFonts w:ascii="宋体" w:hAnsi="宋体"/>
          <w:sz w:val="24"/>
        </w:rPr>
      </w:pPr>
      <w:r>
        <w:rPr>
          <w:rFonts w:hint="eastAsia" w:ascii="宋体" w:hAnsi="宋体"/>
          <w:sz w:val="24"/>
        </w:rPr>
        <w:t>3.经营必须办理的各类证照费。</w:t>
      </w:r>
    </w:p>
    <w:p>
      <w:pPr>
        <w:ind w:firstLine="482" w:firstLineChars="200"/>
        <w:rPr>
          <w:rFonts w:ascii="宋体" w:hAnsi="宋体"/>
          <w:b/>
          <w:bCs/>
          <w:color w:val="auto"/>
          <w:sz w:val="24"/>
        </w:rPr>
      </w:pPr>
      <w:r>
        <w:rPr>
          <w:rFonts w:hint="eastAsia" w:ascii="宋体" w:hAnsi="宋体"/>
          <w:b/>
          <w:bCs/>
          <w:color w:val="auto"/>
          <w:sz w:val="24"/>
        </w:rPr>
        <w:t>4.履约保证金10万元。</w:t>
      </w:r>
    </w:p>
    <w:p>
      <w:pPr>
        <w:ind w:firstLine="480" w:firstLineChars="200"/>
        <w:rPr>
          <w:rFonts w:ascii="宋体" w:hAnsi="宋体"/>
          <w:sz w:val="24"/>
        </w:rPr>
      </w:pPr>
      <w:r>
        <w:rPr>
          <w:rFonts w:hint="eastAsia" w:ascii="宋体" w:hAnsi="宋体"/>
          <w:sz w:val="24"/>
        </w:rPr>
        <w:t>5.其他费用。</w:t>
      </w:r>
    </w:p>
    <w:p>
      <w:pPr>
        <w:ind w:firstLine="482" w:firstLineChars="200"/>
        <w:rPr>
          <w:rFonts w:ascii="宋体" w:hAnsi="宋体"/>
          <w:b/>
          <w:bCs/>
          <w:sz w:val="24"/>
        </w:rPr>
      </w:pPr>
      <w:r>
        <w:rPr>
          <w:rFonts w:hint="eastAsia" w:ascii="宋体" w:hAnsi="宋体"/>
          <w:b/>
          <w:bCs/>
          <w:sz w:val="24"/>
        </w:rPr>
        <w:t>十、毛利率控制</w:t>
      </w:r>
    </w:p>
    <w:p>
      <w:pPr>
        <w:ind w:firstLine="480" w:firstLineChars="200"/>
      </w:pPr>
      <w:r>
        <w:rPr>
          <w:rFonts w:hint="eastAsia" w:ascii="宋体" w:hAnsi="宋体"/>
          <w:sz w:val="24"/>
        </w:rPr>
        <w:t>根据《高等学院学生食堂伙食结构及成本核算指导意见》中规定，经营性餐厅毛利率控制在50%以下，商品价格须低于周边同类商品价格的10%，超过部分归院方所有，由财务部门直接扣除，作为</w:t>
      </w:r>
      <w:r>
        <w:rPr>
          <w:rFonts w:hint="eastAsia" w:ascii="宋体" w:hAnsi="宋体"/>
          <w:sz w:val="24"/>
          <w:lang w:val="en-US" w:eastAsia="zh-CN"/>
        </w:rPr>
        <w:t>学院</w:t>
      </w:r>
      <w:r>
        <w:rPr>
          <w:rFonts w:hint="eastAsia" w:ascii="宋体" w:hAnsi="宋体"/>
          <w:sz w:val="24"/>
        </w:rPr>
        <w:t>商业饮食管理中心调节基金。</w:t>
      </w:r>
    </w:p>
    <w:p>
      <w:pPr>
        <w:ind w:firstLine="482" w:firstLineChars="200"/>
        <w:rPr>
          <w:rFonts w:ascii="宋体" w:hAnsi="宋体"/>
          <w:b/>
          <w:bCs/>
          <w:sz w:val="24"/>
        </w:rPr>
      </w:pPr>
      <w:r>
        <w:rPr>
          <w:rFonts w:hint="eastAsia" w:ascii="宋体" w:hAnsi="宋体"/>
          <w:b/>
          <w:bCs/>
          <w:sz w:val="24"/>
        </w:rPr>
        <w:t>十一、经营管理规定</w:t>
      </w:r>
    </w:p>
    <w:p>
      <w:pPr>
        <w:ind w:firstLine="482" w:firstLineChars="200"/>
        <w:rPr>
          <w:rFonts w:ascii="宋体" w:hAnsi="宋体"/>
          <w:b/>
          <w:bCs/>
          <w:sz w:val="24"/>
        </w:rPr>
      </w:pPr>
      <w:r>
        <w:rPr>
          <w:rFonts w:hint="eastAsia" w:ascii="宋体" w:hAnsi="宋体"/>
          <w:b/>
          <w:bCs/>
          <w:sz w:val="24"/>
        </w:rPr>
        <w:t>（一）经营方案</w:t>
      </w:r>
    </w:p>
    <w:p>
      <w:pPr>
        <w:ind w:firstLine="482" w:firstLineChars="200"/>
        <w:rPr>
          <w:b/>
          <w:bCs/>
          <w:color w:val="auto"/>
        </w:rPr>
      </w:pPr>
      <w:r>
        <w:rPr>
          <w:rFonts w:hint="eastAsia" w:ascii="宋体" w:hAnsi="宋体"/>
          <w:b/>
          <w:bCs/>
          <w:color w:val="auto"/>
          <w:sz w:val="24"/>
        </w:rPr>
        <w:t>经营方案至少应包括以下内容：经营品种规划、预计售卖价格、总体毛利率的控制等。</w:t>
      </w:r>
    </w:p>
    <w:p>
      <w:pPr>
        <w:ind w:firstLine="482" w:firstLineChars="200"/>
        <w:rPr>
          <w:rFonts w:ascii="宋体" w:hAnsi="宋体"/>
          <w:b/>
          <w:bCs/>
          <w:sz w:val="24"/>
        </w:rPr>
      </w:pPr>
      <w:r>
        <w:rPr>
          <w:rFonts w:hint="eastAsia" w:ascii="宋体" w:hAnsi="宋体"/>
          <w:b/>
          <w:bCs/>
          <w:sz w:val="24"/>
        </w:rPr>
        <w:t>（二）经营品种规划</w:t>
      </w:r>
    </w:p>
    <w:p>
      <w:pPr>
        <w:ind w:firstLine="480" w:firstLineChars="200"/>
        <w:rPr>
          <w:rFonts w:ascii="宋体" w:hAnsi="宋体"/>
          <w:sz w:val="24"/>
        </w:rPr>
      </w:pPr>
      <w:r>
        <w:rPr>
          <w:rFonts w:hint="eastAsia" w:ascii="宋体" w:hAnsi="宋体"/>
          <w:sz w:val="24"/>
        </w:rPr>
        <w:t>包括食品类数量、高中低档比例、计划引入品种、总体毛利率的控制等。</w:t>
      </w:r>
    </w:p>
    <w:p>
      <w:pPr>
        <w:ind w:firstLine="482" w:firstLineChars="200"/>
        <w:rPr>
          <w:rFonts w:ascii="宋体" w:hAnsi="宋体"/>
          <w:b/>
          <w:bCs/>
          <w:sz w:val="24"/>
        </w:rPr>
      </w:pPr>
      <w:r>
        <w:rPr>
          <w:rFonts w:hint="eastAsia" w:ascii="宋体" w:hAnsi="宋体"/>
          <w:b/>
          <w:bCs/>
          <w:sz w:val="24"/>
        </w:rPr>
        <w:t>（三）经营管理团队要求</w:t>
      </w:r>
    </w:p>
    <w:p>
      <w:pPr>
        <w:ind w:firstLine="480" w:firstLineChars="200"/>
        <w:rPr>
          <w:rFonts w:ascii="宋体" w:hAnsi="宋体"/>
          <w:sz w:val="24"/>
        </w:rPr>
      </w:pPr>
      <w:r>
        <w:rPr>
          <w:rFonts w:hint="eastAsia" w:ascii="宋体" w:hAnsi="宋体"/>
          <w:sz w:val="24"/>
        </w:rPr>
        <w:t>1.负责中标餐厅经营管理的经理和主要管理人员的工作简历、资质证书、近3年奖惩情况。</w:t>
      </w:r>
    </w:p>
    <w:p>
      <w:pPr>
        <w:ind w:firstLine="480" w:firstLineChars="200"/>
        <w:rPr>
          <w:rFonts w:ascii="宋体" w:hAnsi="宋体"/>
          <w:sz w:val="24"/>
        </w:rPr>
      </w:pPr>
      <w:r>
        <w:rPr>
          <w:rFonts w:hint="eastAsia" w:ascii="宋体" w:hAnsi="宋体"/>
          <w:sz w:val="24"/>
        </w:rPr>
        <w:t>2.中标餐厅管理与生产组织机构设计，以及主要岗位员工职数设置及相应的薪酬标准。</w:t>
      </w:r>
    </w:p>
    <w:p>
      <w:pPr>
        <w:ind w:firstLine="480" w:firstLineChars="200"/>
        <w:rPr>
          <w:rFonts w:ascii="宋体" w:hAnsi="宋体"/>
          <w:sz w:val="24"/>
        </w:rPr>
      </w:pPr>
      <w:r>
        <w:rPr>
          <w:rFonts w:hint="eastAsia" w:ascii="宋体" w:hAnsi="宋体"/>
          <w:sz w:val="24"/>
        </w:rPr>
        <w:t>3.管理制度体系，尤其是安全与质量管理方面的制度、措施等。</w:t>
      </w:r>
    </w:p>
    <w:p>
      <w:pPr>
        <w:ind w:firstLine="482" w:firstLineChars="200"/>
        <w:rPr>
          <w:rFonts w:ascii="宋体" w:hAnsi="宋体"/>
          <w:b/>
          <w:bCs/>
          <w:sz w:val="24"/>
        </w:rPr>
      </w:pPr>
      <w:r>
        <w:rPr>
          <w:rFonts w:hint="eastAsia" w:ascii="宋体" w:hAnsi="宋体"/>
          <w:b/>
          <w:bCs/>
          <w:sz w:val="24"/>
        </w:rPr>
        <w:t>（四）经营场所装饰装修方案</w:t>
      </w:r>
    </w:p>
    <w:p>
      <w:pPr>
        <w:ind w:firstLine="480" w:firstLineChars="200"/>
        <w:rPr>
          <w:rFonts w:ascii="宋体" w:hAnsi="宋体"/>
          <w:sz w:val="24"/>
        </w:rPr>
      </w:pPr>
      <w:r>
        <w:rPr>
          <w:rFonts w:hint="eastAsia" w:ascii="宋体" w:hAnsi="宋体"/>
          <w:sz w:val="24"/>
        </w:rPr>
        <w:t>1.为提升就餐环境，本餐厅改善性投入装饰装修方案需在标书中明确。经招标确认的装饰装修方案既是本项目合同的组成部分，也是对中标人管理、考核的重要依据。装修改造需提供施工清单和决算书，如装修决算后，费用少于承诺装修费用的部分，在其营业额中扣除，纳入商业饮食管理中心大伙调节基金管理。合同期内的装饰装修投入及追加投资由中标人自行决定，独立承担。</w:t>
      </w:r>
    </w:p>
    <w:p>
      <w:pPr>
        <w:ind w:firstLine="480" w:firstLineChars="200"/>
        <w:rPr>
          <w:rFonts w:ascii="宋体" w:hAnsi="宋体"/>
          <w:sz w:val="24"/>
        </w:rPr>
      </w:pPr>
      <w:r>
        <w:rPr>
          <w:rFonts w:hint="eastAsia" w:ascii="宋体" w:hAnsi="宋体"/>
          <w:sz w:val="24"/>
        </w:rPr>
        <w:t>2.装饰装修方案至少应包含以下内容：</w:t>
      </w:r>
    </w:p>
    <w:p>
      <w:pPr>
        <w:ind w:firstLine="480" w:firstLineChars="200"/>
        <w:rPr>
          <w:rFonts w:ascii="宋体" w:hAnsi="宋体"/>
          <w:sz w:val="24"/>
        </w:rPr>
      </w:pPr>
      <w:r>
        <w:rPr>
          <w:rFonts w:hint="eastAsia" w:ascii="宋体" w:hAnsi="宋体"/>
          <w:sz w:val="24"/>
        </w:rPr>
        <w:t>①装饰装修设计方案：设计说明中应有功能性描述、原材料及制安工艺表述，配备有室内设计图、彩色效果图。</w:t>
      </w:r>
    </w:p>
    <w:p>
      <w:pPr>
        <w:ind w:firstLine="480" w:firstLineChars="200"/>
        <w:rPr>
          <w:rFonts w:ascii="宋体" w:hAnsi="宋体"/>
          <w:sz w:val="24"/>
        </w:rPr>
      </w:pPr>
      <w:r>
        <w:rPr>
          <w:rFonts w:hint="eastAsia" w:ascii="宋体" w:hAnsi="宋体"/>
          <w:sz w:val="24"/>
        </w:rPr>
        <w:t>②装饰装修预算。</w:t>
      </w:r>
    </w:p>
    <w:p>
      <w:pPr>
        <w:ind w:firstLine="480" w:firstLineChars="200"/>
        <w:rPr>
          <w:rFonts w:ascii="宋体" w:hAnsi="宋体"/>
          <w:sz w:val="24"/>
        </w:rPr>
      </w:pPr>
      <w:r>
        <w:rPr>
          <w:rFonts w:hint="eastAsia" w:ascii="宋体" w:hAnsi="宋体"/>
          <w:sz w:val="24"/>
        </w:rPr>
        <w:t>③施工组织设计。</w:t>
      </w:r>
    </w:p>
    <w:p>
      <w:pPr>
        <w:ind w:firstLine="480" w:firstLineChars="200"/>
        <w:rPr>
          <w:rFonts w:ascii="宋体" w:hAnsi="宋体"/>
          <w:sz w:val="24"/>
        </w:rPr>
      </w:pPr>
      <w:r>
        <w:rPr>
          <w:rFonts w:hint="eastAsia" w:ascii="宋体" w:hAnsi="宋体"/>
          <w:sz w:val="24"/>
        </w:rPr>
        <w:t>④配套设备清单及其预算。</w:t>
      </w:r>
    </w:p>
    <w:p>
      <w:pPr>
        <w:ind w:firstLine="482" w:firstLineChars="200"/>
        <w:rPr>
          <w:rFonts w:ascii="宋体" w:hAnsi="宋体"/>
          <w:b/>
          <w:bCs/>
          <w:sz w:val="24"/>
        </w:rPr>
      </w:pPr>
      <w:r>
        <w:rPr>
          <w:rFonts w:hint="eastAsia" w:ascii="宋体" w:hAnsi="宋体"/>
          <w:b/>
          <w:bCs/>
          <w:sz w:val="24"/>
        </w:rPr>
        <w:t>注：项目图书馆与大学生活动中心规划区域原有平面施工图DWG文件已上传至磋商公告附件，可下载参考作为方案底图使用（运行平台：AutoCAD2007及以后版本）。</w:t>
      </w:r>
    </w:p>
    <w:p>
      <w:pPr>
        <w:ind w:firstLine="480" w:firstLineChars="200"/>
        <w:rPr>
          <w:rFonts w:ascii="宋体" w:hAnsi="宋体"/>
          <w:sz w:val="24"/>
        </w:rPr>
      </w:pPr>
      <w:r>
        <w:rPr>
          <w:rFonts w:hint="eastAsia" w:ascii="宋体" w:hAnsi="宋体"/>
          <w:sz w:val="24"/>
        </w:rPr>
        <w:t>3.装饰装修要求：</w:t>
      </w:r>
    </w:p>
    <w:p>
      <w:pPr>
        <w:ind w:firstLine="480" w:firstLineChars="200"/>
        <w:rPr>
          <w:rFonts w:ascii="宋体" w:hAnsi="宋体"/>
          <w:sz w:val="24"/>
        </w:rPr>
      </w:pPr>
      <w:r>
        <w:rPr>
          <w:rFonts w:hint="eastAsia" w:ascii="宋体" w:hAnsi="宋体"/>
          <w:sz w:val="24"/>
        </w:rPr>
        <w:t>（1）餐厅：餐厅装修要简约、时尚、温馨、舒适，餐厅内外符合院园主色调，融入院园文化，能迎合当代大学生的消费心理和满足多功能化的需求。</w:t>
      </w:r>
    </w:p>
    <w:p>
      <w:pPr>
        <w:ind w:firstLine="480" w:firstLineChars="200"/>
        <w:rPr>
          <w:rFonts w:ascii="宋体" w:hAnsi="宋体"/>
          <w:sz w:val="24"/>
        </w:rPr>
      </w:pPr>
      <w:r>
        <w:rPr>
          <w:rFonts w:hint="eastAsia" w:ascii="宋体" w:hAnsi="宋体"/>
          <w:sz w:val="24"/>
        </w:rPr>
        <w:t>①装修材料要求环保、节能、低碳，色彩协调统一；</w:t>
      </w:r>
    </w:p>
    <w:p>
      <w:pPr>
        <w:ind w:firstLine="480" w:firstLineChars="200"/>
        <w:rPr>
          <w:rFonts w:ascii="宋体" w:hAnsi="宋体"/>
          <w:sz w:val="24"/>
        </w:rPr>
      </w:pPr>
      <w:r>
        <w:rPr>
          <w:rFonts w:hint="eastAsia" w:ascii="宋体" w:hAnsi="宋体"/>
          <w:sz w:val="24"/>
        </w:rPr>
        <w:t>②灯光设计能够根据功能变化进行调节；</w:t>
      </w:r>
    </w:p>
    <w:p>
      <w:pPr>
        <w:ind w:firstLine="480" w:firstLineChars="200"/>
        <w:rPr>
          <w:rFonts w:ascii="宋体" w:hAnsi="宋体"/>
          <w:sz w:val="24"/>
        </w:rPr>
      </w:pPr>
      <w:r>
        <w:rPr>
          <w:rFonts w:hint="eastAsia" w:ascii="宋体" w:hAnsi="宋体"/>
          <w:sz w:val="24"/>
        </w:rPr>
        <w:t>③有合理的排风系统，保持空气流通通畅；</w:t>
      </w:r>
    </w:p>
    <w:p>
      <w:pPr>
        <w:ind w:firstLine="480" w:firstLineChars="200"/>
        <w:rPr>
          <w:rFonts w:ascii="宋体" w:hAnsi="宋体"/>
          <w:sz w:val="24"/>
        </w:rPr>
      </w:pPr>
      <w:r>
        <w:rPr>
          <w:rFonts w:hint="eastAsia" w:ascii="宋体" w:hAnsi="宋体"/>
          <w:sz w:val="24"/>
        </w:rPr>
        <w:t>④餐厅外立面不允许做任何经营企业宣传（图、文）；</w:t>
      </w:r>
    </w:p>
    <w:p>
      <w:pPr>
        <w:ind w:firstLine="480" w:firstLineChars="200"/>
        <w:rPr>
          <w:rFonts w:ascii="宋体" w:hAnsi="宋体"/>
          <w:sz w:val="24"/>
        </w:rPr>
      </w:pPr>
      <w:r>
        <w:rPr>
          <w:rFonts w:hint="eastAsia" w:ascii="宋体" w:hAnsi="宋体"/>
          <w:sz w:val="24"/>
        </w:rPr>
        <w:t>⑤装修改造符合消防安全要求。</w:t>
      </w:r>
    </w:p>
    <w:p>
      <w:pPr>
        <w:ind w:firstLine="480" w:firstLineChars="200"/>
        <w:rPr>
          <w:rFonts w:ascii="宋体" w:hAnsi="宋体"/>
          <w:sz w:val="24"/>
        </w:rPr>
      </w:pPr>
      <w:r>
        <w:rPr>
          <w:rFonts w:hint="eastAsia" w:ascii="宋体" w:hAnsi="宋体"/>
          <w:sz w:val="24"/>
        </w:rPr>
        <w:t>（2）后场：</w:t>
      </w:r>
    </w:p>
    <w:p>
      <w:pPr>
        <w:ind w:firstLine="480" w:firstLineChars="200"/>
        <w:rPr>
          <w:rFonts w:ascii="宋体" w:hAnsi="宋体"/>
          <w:sz w:val="24"/>
        </w:rPr>
      </w:pPr>
      <w:r>
        <w:rPr>
          <w:rFonts w:hint="eastAsia" w:ascii="宋体" w:hAnsi="宋体"/>
          <w:sz w:val="24"/>
        </w:rPr>
        <w:t>①功能间设置合理，流程规范</w:t>
      </w:r>
    </w:p>
    <w:p>
      <w:pPr>
        <w:ind w:firstLine="480" w:firstLineChars="200"/>
        <w:rPr>
          <w:rFonts w:ascii="宋体" w:hAnsi="宋体"/>
          <w:sz w:val="24"/>
        </w:rPr>
      </w:pPr>
      <w:r>
        <w:rPr>
          <w:rFonts w:hint="eastAsia" w:ascii="宋体" w:hAnsi="宋体"/>
          <w:sz w:val="24"/>
        </w:rPr>
        <w:t>②油烟排放净化系统安装合理、规范，排烟净化效果好；</w:t>
      </w:r>
    </w:p>
    <w:p>
      <w:pPr>
        <w:ind w:firstLine="480" w:firstLineChars="200"/>
        <w:rPr>
          <w:rFonts w:ascii="宋体" w:hAnsi="宋体"/>
          <w:sz w:val="24"/>
        </w:rPr>
      </w:pPr>
      <w:r>
        <w:rPr>
          <w:rFonts w:hint="eastAsia" w:ascii="宋体" w:hAnsi="宋体"/>
          <w:sz w:val="24"/>
        </w:rPr>
        <w:t>③所有操作间白色瓷砖到顶；</w:t>
      </w:r>
    </w:p>
    <w:p>
      <w:pPr>
        <w:ind w:firstLine="480" w:firstLineChars="200"/>
        <w:rPr>
          <w:rFonts w:ascii="宋体" w:hAnsi="宋体"/>
          <w:sz w:val="24"/>
        </w:rPr>
      </w:pPr>
      <w:r>
        <w:rPr>
          <w:rFonts w:hint="eastAsia" w:ascii="宋体" w:hAnsi="宋体"/>
          <w:sz w:val="24"/>
        </w:rPr>
        <w:t>④老化线路要进行重新铺设；</w:t>
      </w:r>
    </w:p>
    <w:p>
      <w:pPr>
        <w:ind w:firstLine="480" w:firstLineChars="200"/>
        <w:rPr>
          <w:rFonts w:ascii="宋体" w:hAnsi="宋体"/>
          <w:sz w:val="24"/>
        </w:rPr>
      </w:pPr>
      <w:r>
        <w:rPr>
          <w:rFonts w:hint="eastAsia" w:ascii="宋体" w:hAnsi="宋体"/>
          <w:sz w:val="24"/>
        </w:rPr>
        <w:t>⑤厨房设备、灶具做到不锈钢化；</w:t>
      </w:r>
    </w:p>
    <w:p>
      <w:pPr>
        <w:ind w:firstLine="480" w:firstLineChars="200"/>
        <w:rPr>
          <w:rFonts w:ascii="宋体" w:hAnsi="宋体"/>
          <w:sz w:val="24"/>
        </w:rPr>
      </w:pPr>
      <w:r>
        <w:rPr>
          <w:rFonts w:hint="eastAsia" w:ascii="宋体" w:hAnsi="宋体"/>
          <w:sz w:val="24"/>
        </w:rPr>
        <w:t>⑥装修改造符合消防安全要求。</w:t>
      </w:r>
    </w:p>
    <w:p>
      <w:pPr>
        <w:ind w:firstLine="480" w:firstLineChars="200"/>
        <w:rPr>
          <w:rFonts w:ascii="宋体" w:hAnsi="宋体"/>
          <w:sz w:val="24"/>
        </w:rPr>
      </w:pPr>
      <w:r>
        <w:rPr>
          <w:rFonts w:hint="eastAsia" w:ascii="宋体" w:hAnsi="宋体"/>
          <w:sz w:val="24"/>
        </w:rPr>
        <w:t>4.投标人应当提供装修效果图，其中整体效果图至少一张，局部效果图不少于三张，彩印KT版，尺寸自定，在招标现场展示，同时投标文件中提供彩打效果图。</w:t>
      </w:r>
    </w:p>
    <w:p>
      <w:pPr>
        <w:ind w:firstLine="480" w:firstLineChars="200"/>
        <w:rPr>
          <w:rFonts w:ascii="宋体" w:hAnsi="宋体"/>
          <w:sz w:val="24"/>
        </w:rPr>
      </w:pPr>
      <w:r>
        <w:rPr>
          <w:rFonts w:hint="eastAsia" w:ascii="宋体" w:hAnsi="宋体"/>
          <w:sz w:val="24"/>
        </w:rPr>
        <w:t>5．中标的装修方案不是本次招标的最终方案，中标人应当根据招标方的要求，在中标后规定的时间内完成深化设计和相关修改，中标人不按招标方要求进行深化设计和修改的，招标人有权取消其中标资格，并根据评标得分，按顺位确定其他中标候选人。</w:t>
      </w:r>
    </w:p>
    <w:p>
      <w:pPr>
        <w:ind w:firstLine="482" w:firstLineChars="200"/>
        <w:rPr>
          <w:rFonts w:ascii="宋体" w:hAnsi="宋体"/>
          <w:b/>
          <w:bCs/>
          <w:sz w:val="24"/>
        </w:rPr>
      </w:pPr>
      <w:r>
        <w:rPr>
          <w:rFonts w:hint="eastAsia" w:ascii="宋体" w:hAnsi="宋体"/>
          <w:b/>
          <w:bCs/>
          <w:sz w:val="24"/>
        </w:rPr>
        <w:t>（五）从业人员管理</w:t>
      </w:r>
    </w:p>
    <w:p>
      <w:pPr>
        <w:ind w:firstLine="480" w:firstLineChars="200"/>
        <w:rPr>
          <w:rFonts w:ascii="宋体" w:hAnsi="宋体"/>
          <w:sz w:val="24"/>
        </w:rPr>
      </w:pPr>
      <w:r>
        <w:rPr>
          <w:rFonts w:hint="eastAsia" w:ascii="宋体" w:hAnsi="宋体"/>
          <w:sz w:val="24"/>
        </w:rPr>
        <w:t>1.用工须符合国家《劳动合同法》有关规定、由于劳务纠纷引发的各类责任均由中标人自行承担。如由此造成恶劣影响，商业饮食管理中心将扣除其履约保证金的20%-100%作为罚金。</w:t>
      </w:r>
    </w:p>
    <w:p>
      <w:pPr>
        <w:ind w:firstLine="480" w:firstLineChars="200"/>
        <w:rPr>
          <w:rFonts w:ascii="宋体" w:hAnsi="宋体"/>
          <w:sz w:val="24"/>
        </w:rPr>
      </w:pPr>
      <w:r>
        <w:rPr>
          <w:rFonts w:hint="eastAsia" w:ascii="宋体" w:hAnsi="宋体"/>
          <w:sz w:val="24"/>
        </w:rPr>
        <w:t>2.所有从业人员须符合工作岗位要求，经体检取得培训合格证、健康证。</w:t>
      </w:r>
    </w:p>
    <w:p>
      <w:pPr>
        <w:ind w:firstLine="480" w:firstLineChars="200"/>
        <w:rPr>
          <w:rFonts w:ascii="宋体" w:hAnsi="宋体"/>
          <w:sz w:val="24"/>
        </w:rPr>
      </w:pPr>
      <w:r>
        <w:rPr>
          <w:rFonts w:hint="eastAsia" w:ascii="宋体" w:hAnsi="宋体"/>
          <w:sz w:val="24"/>
        </w:rPr>
        <w:t>3.所有从业人员均须接受商业饮食管理中心监管，认真接受培训，准时参加商业饮食管理中心组织的各项会议和活动。</w:t>
      </w:r>
    </w:p>
    <w:p>
      <w:pPr>
        <w:ind w:firstLine="480" w:firstLineChars="200"/>
        <w:rPr>
          <w:rFonts w:ascii="宋体" w:hAnsi="宋体"/>
          <w:sz w:val="24"/>
        </w:rPr>
      </w:pPr>
      <w:r>
        <w:rPr>
          <w:rFonts w:hint="eastAsia" w:ascii="宋体" w:hAnsi="宋体"/>
          <w:sz w:val="24"/>
        </w:rPr>
        <w:t>4.从业人员的住宿均由中标人自行解决。</w:t>
      </w:r>
    </w:p>
    <w:p>
      <w:pPr>
        <w:ind w:firstLine="482" w:firstLineChars="200"/>
        <w:rPr>
          <w:rFonts w:ascii="宋体" w:hAnsi="宋体"/>
          <w:b/>
          <w:bCs/>
          <w:sz w:val="24"/>
        </w:rPr>
      </w:pPr>
      <w:r>
        <w:rPr>
          <w:rFonts w:hint="eastAsia" w:ascii="宋体" w:hAnsi="宋体"/>
          <w:b/>
          <w:bCs/>
          <w:sz w:val="24"/>
        </w:rPr>
        <w:t>（六）安全管理规定</w:t>
      </w:r>
    </w:p>
    <w:p>
      <w:pPr>
        <w:ind w:firstLine="480" w:firstLineChars="200"/>
        <w:rPr>
          <w:rFonts w:ascii="宋体" w:hAnsi="宋体"/>
          <w:sz w:val="24"/>
        </w:rPr>
      </w:pPr>
      <w:r>
        <w:rPr>
          <w:rFonts w:hint="eastAsia" w:ascii="宋体" w:hAnsi="宋体"/>
          <w:sz w:val="24"/>
        </w:rPr>
        <w:t>1.严格遵守《食品安全法》、《学院食堂与学生集体用餐卫生管理规定》、《反食品浪费法》及相关的法律法规，认真做好防火、防盗、防事故，预防和杜绝食物中毒事件发生。</w:t>
      </w:r>
    </w:p>
    <w:p>
      <w:pPr>
        <w:ind w:firstLine="480" w:firstLineChars="200"/>
        <w:rPr>
          <w:rFonts w:ascii="宋体" w:hAnsi="宋体"/>
          <w:sz w:val="24"/>
        </w:rPr>
      </w:pPr>
      <w:r>
        <w:rPr>
          <w:rFonts w:hint="eastAsia" w:ascii="宋体" w:hAnsi="宋体"/>
          <w:sz w:val="24"/>
        </w:rPr>
        <w:t>2.认真管理职工，及时进行劳动安全教育，严格执行安全操作规程，切实加强安全检查，排除安全隐患。</w:t>
      </w:r>
    </w:p>
    <w:p>
      <w:pPr>
        <w:ind w:firstLine="480" w:firstLineChars="200"/>
        <w:rPr>
          <w:rFonts w:ascii="宋体" w:hAnsi="宋体"/>
          <w:sz w:val="24"/>
        </w:rPr>
      </w:pPr>
      <w:r>
        <w:rPr>
          <w:rFonts w:hint="eastAsia" w:ascii="宋体" w:hAnsi="宋体"/>
          <w:sz w:val="24"/>
        </w:rPr>
        <w:t>3.实行安全责任总负责。发生安全事故、食物中毒引发的责任均由中标人独立承担。</w:t>
      </w:r>
    </w:p>
    <w:p>
      <w:pPr>
        <w:ind w:firstLine="482" w:firstLineChars="200"/>
        <w:rPr>
          <w:rFonts w:ascii="宋体" w:hAnsi="宋体"/>
          <w:b/>
          <w:bCs/>
          <w:sz w:val="24"/>
        </w:rPr>
      </w:pPr>
      <w:r>
        <w:rPr>
          <w:rFonts w:hint="eastAsia" w:ascii="宋体" w:hAnsi="宋体"/>
          <w:b/>
          <w:bCs/>
          <w:sz w:val="24"/>
        </w:rPr>
        <w:t>（七）设施设备管理规定</w:t>
      </w:r>
    </w:p>
    <w:p>
      <w:pPr>
        <w:ind w:firstLine="480" w:firstLineChars="200"/>
        <w:rPr>
          <w:rFonts w:ascii="宋体" w:hAnsi="宋体"/>
          <w:sz w:val="24"/>
        </w:rPr>
      </w:pPr>
      <w:r>
        <w:rPr>
          <w:rFonts w:hint="eastAsia" w:ascii="宋体" w:hAnsi="宋体"/>
          <w:sz w:val="24"/>
        </w:rPr>
        <w:t>1.院方投入的设施设备，由中标人负责维护、巡检、保修，损坏或丢失由中标人自行修复或赔偿。</w:t>
      </w:r>
    </w:p>
    <w:p>
      <w:pPr>
        <w:ind w:firstLine="480" w:firstLineChars="200"/>
        <w:rPr>
          <w:rFonts w:ascii="宋体" w:hAnsi="宋体"/>
          <w:sz w:val="24"/>
        </w:rPr>
      </w:pPr>
      <w:r>
        <w:rPr>
          <w:rFonts w:hint="eastAsia" w:ascii="宋体" w:hAnsi="宋体"/>
          <w:sz w:val="24"/>
        </w:rPr>
        <w:t>2.中标人投入的设施设备，由中标人负责维护、巡检、修复、保管。</w:t>
      </w:r>
    </w:p>
    <w:p>
      <w:pPr>
        <w:ind w:firstLine="480" w:firstLineChars="200"/>
        <w:rPr>
          <w:rFonts w:ascii="宋体" w:hAnsi="宋体"/>
          <w:sz w:val="24"/>
        </w:rPr>
      </w:pPr>
      <w:r>
        <w:rPr>
          <w:rFonts w:hint="eastAsia" w:ascii="宋体" w:hAnsi="宋体"/>
          <w:sz w:val="24"/>
        </w:rPr>
        <w:t>3.房屋固有设施不得擅自更改。若因操作确实需要更改的必须上报商业饮食管理中心，经审批同意后方可施工，费用自理。</w:t>
      </w:r>
    </w:p>
    <w:p>
      <w:pPr>
        <w:ind w:firstLine="482" w:firstLineChars="200"/>
        <w:rPr>
          <w:rFonts w:ascii="宋体" w:hAnsi="宋体"/>
          <w:b/>
          <w:bCs/>
          <w:sz w:val="24"/>
        </w:rPr>
      </w:pPr>
      <w:r>
        <w:rPr>
          <w:rFonts w:hint="eastAsia" w:ascii="宋体" w:hAnsi="宋体"/>
          <w:b/>
          <w:bCs/>
          <w:sz w:val="24"/>
        </w:rPr>
        <w:t>（八）其他规定</w:t>
      </w:r>
    </w:p>
    <w:p>
      <w:pPr>
        <w:ind w:firstLine="480" w:firstLineChars="200"/>
        <w:rPr>
          <w:rFonts w:ascii="宋体" w:hAnsi="宋体"/>
          <w:sz w:val="24"/>
        </w:rPr>
      </w:pPr>
      <w:r>
        <w:rPr>
          <w:rFonts w:hint="eastAsia" w:ascii="宋体" w:hAnsi="宋体"/>
          <w:sz w:val="24"/>
        </w:rPr>
        <w:t>1.合同期满，合同自动终止。</w:t>
      </w:r>
    </w:p>
    <w:p>
      <w:pPr>
        <w:ind w:firstLine="480" w:firstLineChars="200"/>
        <w:rPr>
          <w:rFonts w:ascii="宋体" w:hAnsi="宋体"/>
          <w:sz w:val="24"/>
        </w:rPr>
      </w:pPr>
      <w:r>
        <w:rPr>
          <w:rFonts w:hint="eastAsia" w:ascii="宋体" w:hAnsi="宋体"/>
          <w:sz w:val="24"/>
        </w:rPr>
        <w:t>2.合同首期经营期考核不合格的，合同不再续签，合同终止。</w:t>
      </w:r>
    </w:p>
    <w:p>
      <w:pPr>
        <w:ind w:firstLine="480" w:firstLineChars="200"/>
        <w:rPr>
          <w:rFonts w:ascii="宋体" w:hAnsi="宋体"/>
          <w:sz w:val="24"/>
        </w:rPr>
      </w:pPr>
      <w:r>
        <w:rPr>
          <w:rFonts w:hint="eastAsia" w:ascii="宋体" w:hAnsi="宋体"/>
          <w:sz w:val="24"/>
        </w:rPr>
        <w:t>3.因经营不善终止合同，中标人须提前三个月向商业饮食管理中心提出书面申请。经批准同意后方可停止营业。但认定为中标人违约的，院方将扣留履约保证金总额的20％作为罚金。如中标人不经同意自行停止经营，将认定为中标人恶意违约，院方将扣留其全额履约保证金，并根据造成的影响轻重给予一定数额的经济处罚，直至追究其法律责任。</w:t>
      </w:r>
    </w:p>
    <w:p>
      <w:pPr>
        <w:ind w:firstLine="480" w:firstLineChars="200"/>
        <w:rPr>
          <w:rFonts w:ascii="宋体" w:hAnsi="宋体"/>
          <w:sz w:val="24"/>
        </w:rPr>
      </w:pPr>
      <w:r>
        <w:rPr>
          <w:rFonts w:hint="eastAsia" w:ascii="宋体" w:hAnsi="宋体"/>
          <w:sz w:val="24"/>
        </w:rPr>
        <w:t>4.经营合同到期或因中标人自身原因须提前终止合同的，中标人不得破坏、拆除、损毁已投入的设施设备和装潢改造，只能自行处置非固定设备。否则将根据实际情况计算损失，损失费用从其营业款或履约保证金中扣除。</w:t>
      </w:r>
    </w:p>
    <w:p>
      <w:pPr>
        <w:ind w:firstLine="480" w:firstLineChars="200"/>
        <w:rPr>
          <w:rFonts w:ascii="宋体" w:hAnsi="宋体"/>
          <w:sz w:val="24"/>
        </w:rPr>
      </w:pPr>
      <w:r>
        <w:rPr>
          <w:rFonts w:hint="eastAsia" w:ascii="宋体" w:hAnsi="宋体"/>
          <w:sz w:val="24"/>
        </w:rPr>
        <w:t>5.经营期间有下列情况之一，将终止合同，中标人无偿退出：</w:t>
      </w:r>
    </w:p>
    <w:p>
      <w:pPr>
        <w:ind w:firstLine="480" w:firstLineChars="200"/>
        <w:rPr>
          <w:rFonts w:ascii="宋体" w:hAnsi="宋体"/>
          <w:sz w:val="24"/>
        </w:rPr>
      </w:pPr>
      <w:r>
        <w:rPr>
          <w:rFonts w:hint="eastAsia" w:ascii="宋体" w:hAnsi="宋体"/>
          <w:sz w:val="24"/>
        </w:rPr>
        <w:t>（1）发生食物中毒，与中标人或其经营的食堂有关。</w:t>
      </w:r>
    </w:p>
    <w:p>
      <w:pPr>
        <w:ind w:firstLine="480" w:firstLineChars="200"/>
        <w:rPr>
          <w:rFonts w:ascii="宋体" w:hAnsi="宋体"/>
          <w:sz w:val="24"/>
        </w:rPr>
      </w:pPr>
      <w:r>
        <w:rPr>
          <w:rFonts w:hint="eastAsia" w:ascii="宋体" w:hAnsi="宋体"/>
          <w:sz w:val="24"/>
        </w:rPr>
        <w:t>（2）食堂发生火灾，责任在中标人。</w:t>
      </w:r>
    </w:p>
    <w:p>
      <w:pPr>
        <w:ind w:firstLine="480" w:firstLineChars="200"/>
        <w:rPr>
          <w:rFonts w:ascii="宋体" w:hAnsi="宋体"/>
          <w:sz w:val="24"/>
        </w:rPr>
      </w:pPr>
      <w:r>
        <w:rPr>
          <w:rFonts w:hint="eastAsia" w:ascii="宋体" w:hAnsi="宋体"/>
          <w:sz w:val="24"/>
        </w:rPr>
        <w:t>（3）中标人违反法律法规或院方相关规定，给学院造成重大不良影响。</w:t>
      </w:r>
    </w:p>
    <w:p>
      <w:pPr>
        <w:ind w:firstLine="480" w:firstLineChars="200"/>
        <w:rPr>
          <w:rFonts w:ascii="宋体" w:hAnsi="宋体"/>
          <w:sz w:val="24"/>
        </w:rPr>
      </w:pPr>
      <w:r>
        <w:rPr>
          <w:rFonts w:hint="eastAsia" w:ascii="宋体" w:hAnsi="宋体"/>
          <w:sz w:val="24"/>
        </w:rPr>
        <w:t>（4）中标人在本项目经营期间违法，受到我国司法部门处理。</w:t>
      </w:r>
    </w:p>
    <w:p>
      <w:pPr>
        <w:ind w:firstLine="480" w:firstLineChars="200"/>
        <w:rPr>
          <w:rFonts w:ascii="宋体" w:hAnsi="宋体"/>
          <w:sz w:val="24"/>
        </w:rPr>
      </w:pPr>
      <w:r>
        <w:rPr>
          <w:rFonts w:hint="eastAsia" w:ascii="宋体" w:hAnsi="宋体"/>
          <w:sz w:val="24"/>
        </w:rPr>
        <w:t>（5）因中标人擅自提高饭菜价格，出现食品安全、服务质量等问题，导致引发群体事件，影响恶劣。</w:t>
      </w:r>
    </w:p>
    <w:p>
      <w:pPr>
        <w:ind w:firstLine="480" w:firstLineChars="200"/>
        <w:rPr>
          <w:rFonts w:ascii="宋体" w:hAnsi="宋体"/>
          <w:sz w:val="24"/>
        </w:rPr>
      </w:pPr>
      <w:r>
        <w:rPr>
          <w:rFonts w:hint="eastAsia" w:ascii="宋体" w:hAnsi="宋体"/>
          <w:sz w:val="24"/>
        </w:rPr>
        <w:t>（6）中标人转包餐厅，或在经营期间有转包本项目内窗口经营行为。</w:t>
      </w:r>
    </w:p>
    <w:p>
      <w:pPr>
        <w:ind w:firstLine="480" w:firstLineChars="200"/>
        <w:rPr>
          <w:rFonts w:ascii="宋体" w:hAnsi="宋体"/>
          <w:sz w:val="24"/>
        </w:rPr>
      </w:pPr>
      <w:r>
        <w:rPr>
          <w:rFonts w:hint="eastAsia" w:ascii="宋体" w:hAnsi="宋体"/>
          <w:sz w:val="24"/>
        </w:rPr>
        <w:t>（7）中标人不服从院方监管，或无故停止营业的。</w:t>
      </w:r>
    </w:p>
    <w:p>
      <w:pPr>
        <w:ind w:firstLine="480" w:firstLineChars="200"/>
        <w:rPr>
          <w:rFonts w:ascii="宋体" w:hAnsi="宋体"/>
          <w:sz w:val="24"/>
        </w:rPr>
      </w:pPr>
      <w:r>
        <w:rPr>
          <w:rFonts w:hint="eastAsia" w:ascii="宋体" w:hAnsi="宋体"/>
          <w:sz w:val="24"/>
        </w:rPr>
        <w:t>（8）其它违反合同约定，或有违反我国法律法规违规行为。</w:t>
      </w:r>
    </w:p>
    <w:p>
      <w:pPr>
        <w:ind w:firstLine="480" w:firstLineChars="200"/>
        <w:rPr>
          <w:rFonts w:ascii="宋体" w:hAnsi="宋体"/>
          <w:sz w:val="24"/>
        </w:rPr>
      </w:pPr>
      <w:r>
        <w:rPr>
          <w:rFonts w:hint="eastAsia" w:ascii="宋体" w:hAnsi="宋体"/>
          <w:sz w:val="24"/>
        </w:rPr>
        <w:t>6.由于中标人过错终止合同，由此产生的经济损失及法律责任均由中标人承担。中标人应在接到院方“终止合同、退出经营通知”两周内上缴所经营食堂钥匙及食堂内所有设施设备，中标人上交的履约保证金不予退还。</w:t>
      </w:r>
    </w:p>
    <w:p>
      <w:pPr>
        <w:ind w:firstLine="480" w:firstLineChars="200"/>
        <w:rPr>
          <w:rFonts w:ascii="宋体" w:hAnsi="宋体"/>
          <w:sz w:val="24"/>
        </w:rPr>
      </w:pPr>
      <w:r>
        <w:rPr>
          <w:rFonts w:hint="eastAsia" w:ascii="宋体" w:hAnsi="宋体"/>
          <w:sz w:val="24"/>
        </w:rPr>
        <w:t>7.合同期未满，院方由于院园基本建设、拆迁等原因需要终止合同时，应提前两个月通知中标人，中标人接获通知后应无偿退出经营。</w:t>
      </w:r>
    </w:p>
    <w:p>
      <w:pPr>
        <w:ind w:firstLine="480" w:firstLineChars="200"/>
        <w:rPr>
          <w:rFonts w:ascii="宋体" w:hAnsi="宋体"/>
          <w:sz w:val="24"/>
        </w:rPr>
      </w:pPr>
      <w:r>
        <w:rPr>
          <w:rFonts w:hint="eastAsia" w:ascii="宋体" w:hAnsi="宋体"/>
          <w:sz w:val="24"/>
        </w:rPr>
        <w:t>8.严格遵守院方的相关管理规定，如违反，学院将给予相应的违约处罚。</w:t>
      </w:r>
    </w:p>
    <w:p>
      <w:pPr>
        <w:pStyle w:val="2"/>
        <w:rPr>
          <w:rFonts w:ascii="宋体" w:hAnsi="宋体"/>
          <w:sz w:val="24"/>
        </w:rPr>
        <w:sectPr>
          <w:headerReference r:id="rId3" w:type="default"/>
          <w:footerReference r:id="rId4" w:type="default"/>
          <w:pgSz w:w="11906" w:h="16838"/>
          <w:pgMar w:top="1383" w:right="1080" w:bottom="986" w:left="1080" w:header="851" w:footer="709" w:gutter="0"/>
          <w:cols w:space="720" w:num="1"/>
          <w:docGrid w:linePitch="312" w:charSpace="0"/>
        </w:sectPr>
      </w:pPr>
    </w:p>
    <w:p>
      <w:pPr>
        <w:pStyle w:val="2"/>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：项目规划区域平面示意图</w:t>
      </w:r>
    </w:p>
    <w:p>
      <w:pPr>
        <w:pStyle w:val="2"/>
      </w:pPr>
      <w:r>
        <w:drawing>
          <wp:inline distT="0" distB="0" distL="114300" distR="114300">
            <wp:extent cx="6185535" cy="3105785"/>
            <wp:effectExtent l="0" t="0" r="5715" b="184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6185535" cy="3105785"/>
                    </a:xfrm>
                    <a:prstGeom prst="rect">
                      <a:avLst/>
                    </a:prstGeom>
                    <a:noFill/>
                    <a:ln>
                      <a:noFill/>
                    </a:ln>
                  </pic:spPr>
                </pic:pic>
              </a:graphicData>
            </a:graphic>
          </wp:inline>
        </w:drawing>
      </w:r>
    </w:p>
    <w:p>
      <w:pPr>
        <w:jc w:val="center"/>
        <w:rPr>
          <w:b/>
          <w:bCs/>
        </w:rPr>
      </w:pPr>
      <w:r>
        <w:rPr>
          <w:rFonts w:hint="eastAsia"/>
          <w:b/>
          <w:bCs/>
        </w:rPr>
        <w:t>项目图书馆规划区域平面示意图  单位：毫米（mm）</w:t>
      </w:r>
    </w:p>
    <w:p>
      <w:pPr>
        <w:pStyle w:val="2"/>
        <w:rPr>
          <w:rFonts w:hint="eastAsia" w:eastAsia="黑体"/>
          <w:lang w:eastAsia="zh-CN"/>
        </w:rPr>
      </w:pPr>
      <w:r>
        <w:rPr>
          <w:rFonts w:hint="eastAsia" w:eastAsia="黑体"/>
          <w:lang w:eastAsia="zh-CN"/>
        </w:rPr>
        <w:drawing>
          <wp:inline distT="0" distB="0" distL="114300" distR="114300">
            <wp:extent cx="6187440" cy="3696970"/>
            <wp:effectExtent l="0" t="0" r="3810" b="17780"/>
            <wp:docPr id="1" name="图片 1" descr="大活规划区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活规划区域"/>
                    <pic:cNvPicPr>
                      <a:picLocks noChangeAspect="1"/>
                    </pic:cNvPicPr>
                  </pic:nvPicPr>
                  <pic:blipFill>
                    <a:blip r:embed="rId7"/>
                    <a:stretch>
                      <a:fillRect/>
                    </a:stretch>
                  </pic:blipFill>
                  <pic:spPr>
                    <a:xfrm>
                      <a:off x="0" y="0"/>
                      <a:ext cx="6187440" cy="3696970"/>
                    </a:xfrm>
                    <a:prstGeom prst="rect">
                      <a:avLst/>
                    </a:prstGeom>
                  </pic:spPr>
                </pic:pic>
              </a:graphicData>
            </a:graphic>
          </wp:inline>
        </w:drawing>
      </w:r>
    </w:p>
    <w:p>
      <w:pPr>
        <w:jc w:val="center"/>
        <w:rPr>
          <w:b/>
          <w:bCs/>
          <w:szCs w:val="21"/>
        </w:rPr>
      </w:pPr>
      <w:r>
        <w:rPr>
          <w:rFonts w:hint="eastAsia"/>
          <w:b/>
          <w:bCs/>
          <w:szCs w:val="21"/>
        </w:rPr>
        <w:t xml:space="preserve">项目大学生活动中心规划区域平面示意图  </w:t>
      </w:r>
      <w:r>
        <w:rPr>
          <w:rFonts w:hint="eastAsia"/>
          <w:b/>
          <w:bCs/>
        </w:rPr>
        <w:t>单位：毫米（mm）</w:t>
      </w:r>
    </w:p>
    <w:p>
      <w:pPr>
        <w:rPr>
          <w:b/>
          <w:bCs/>
          <w:sz w:val="24"/>
        </w:rPr>
      </w:pPr>
      <w:r>
        <w:rPr>
          <w:rFonts w:hint="eastAsia"/>
          <w:b/>
          <w:bCs/>
          <w:sz w:val="24"/>
        </w:rPr>
        <w:t>注意事项：</w:t>
      </w:r>
    </w:p>
    <w:p>
      <w:pPr>
        <w:rPr>
          <w:sz w:val="24"/>
        </w:rPr>
      </w:pPr>
      <w:r>
        <w:rPr>
          <w:rFonts w:hint="eastAsia"/>
          <w:sz w:val="24"/>
        </w:rPr>
        <w:t>1.项目规划区域的实际使用面积以现场勘查为准，</w:t>
      </w:r>
      <w:r>
        <w:rPr>
          <w:rFonts w:hint="eastAsia" w:ascii="宋体" w:hAnsi="宋体"/>
          <w:b w:val="0"/>
          <w:bCs w:val="0"/>
          <w:sz w:val="24"/>
          <w:shd w:val="clear"/>
          <w:lang w:val="en-US" w:eastAsia="zh-CN"/>
        </w:rPr>
        <w:t>投标人须</w:t>
      </w:r>
      <w:r>
        <w:rPr>
          <w:rFonts w:hint="eastAsia"/>
          <w:b w:val="0"/>
          <w:bCs w:val="0"/>
          <w:sz w:val="24"/>
        </w:rPr>
        <w:t>在</w:t>
      </w:r>
      <w:r>
        <w:rPr>
          <w:rFonts w:hint="eastAsia"/>
          <w:sz w:val="24"/>
        </w:rPr>
        <w:t>项目经营方案中体现。</w:t>
      </w:r>
    </w:p>
    <w:p>
      <w:r>
        <w:rPr>
          <w:rFonts w:hint="eastAsia"/>
          <w:sz w:val="24"/>
        </w:rPr>
        <w:t>2.装饰装修设计范围：（1）项目图书馆规划区域：图示储藏区、展示区；</w:t>
      </w:r>
    </w:p>
    <w:p>
      <w:pPr>
        <w:ind w:firstLine="2400" w:firstLineChars="1000"/>
        <w:rPr>
          <w:rFonts w:hint="eastAsia"/>
          <w:sz w:val="24"/>
        </w:rPr>
      </w:pPr>
      <w:r>
        <w:rPr>
          <w:rFonts w:hint="eastAsia"/>
          <w:sz w:val="24"/>
        </w:rPr>
        <w:t>（2）项目大学生活动中心规划区域：图示全部区域。</w:t>
      </w:r>
    </w:p>
    <w:p>
      <w:pPr>
        <w:pStyle w:val="2"/>
        <w:shd w:val="clear"/>
        <w:jc w:val="center"/>
        <w:rPr>
          <w:rFonts w:hint="eastAsia" w:ascii="黑体" w:hAnsi="黑体" w:eastAsia="黑体" w:cs="黑体"/>
          <w:sz w:val="32"/>
          <w:szCs w:val="48"/>
          <w:lang w:val="en-US" w:eastAsia="zh-CN"/>
        </w:rPr>
      </w:pPr>
      <w:r>
        <w:rPr>
          <w:rFonts w:hint="eastAsia" w:ascii="黑体" w:hAnsi="黑体" w:eastAsia="黑体" w:cs="黑体"/>
          <w:sz w:val="32"/>
          <w:szCs w:val="48"/>
          <w:lang w:val="en-US" w:eastAsia="zh-CN"/>
        </w:rPr>
        <w:t>附件2：江苏师范大学科文学院潘安湖校区现有经营品牌（轻食类）</w:t>
      </w:r>
    </w:p>
    <w:tbl>
      <w:tblPr>
        <w:tblStyle w:val="14"/>
        <w:tblW w:w="8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00"/>
        <w:gridCol w:w="2020"/>
        <w:gridCol w:w="2330"/>
        <w:gridCol w:w="161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序号</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名称</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位置</w:t>
            </w:r>
          </w:p>
        </w:tc>
        <w:tc>
          <w:tcPr>
            <w:tcW w:w="1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经营内容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蜜雪冰城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商业街2#商铺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奶茶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蜜城之恋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商业街4－3#商铺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奶茶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瑞幸咖啡</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（luckin coffee）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商业街6#商铺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咖啡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王先生的店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商业街7#商铺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烘焙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芒芒满分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商业街10#商铺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烘焙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大台北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一食堂一层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奶茶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0090汉堡店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一食堂一层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汉堡、饮料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摩打咖啡</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（Moda Coffee）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一食堂二层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咖啡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十三太牛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一食堂二层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汉堡、饮料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徐家铺子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一食堂二层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烘焙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磨颜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二食堂一层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奶茶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汉堡王子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二食堂二层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汉堡、饮料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iCs w:val="0"/>
                <w:color w:val="000000"/>
                <w:sz w:val="24"/>
                <w:szCs w:val="24"/>
                <w:u w:val="none"/>
              </w:rPr>
            </w:pPr>
          </w:p>
        </w:tc>
      </w:tr>
    </w:tbl>
    <w:p>
      <w:pPr>
        <w:spacing w:line="400" w:lineRule="exact"/>
        <w:jc w:val="left"/>
        <w:rPr>
          <w:rFonts w:hint="eastAsia"/>
          <w:b/>
          <w:bCs/>
          <w:sz w:val="22"/>
          <w:szCs w:val="22"/>
          <w:lang w:val="en-US" w:eastAsia="zh-CN"/>
        </w:rPr>
      </w:pPr>
      <w:r>
        <w:rPr>
          <w:rFonts w:hint="eastAsia"/>
          <w:b/>
          <w:bCs/>
          <w:sz w:val="22"/>
          <w:szCs w:val="22"/>
          <w:lang w:val="en-US" w:eastAsia="zh-CN"/>
        </w:rPr>
        <w:t>注：此统计截止至2023年3月3日。该项目所引进或经营的品牌不得与上述学院现有轻食类经营品牌重叠。</w:t>
      </w:r>
    </w:p>
    <w:p>
      <w:pPr>
        <w:pStyle w:val="2"/>
        <w:rPr>
          <w:rFonts w:hint="eastAsia"/>
          <w:b/>
          <w:bCs/>
          <w:sz w:val="22"/>
          <w:szCs w:val="22"/>
          <w:lang w:val="en-US" w:eastAsia="zh-CN"/>
        </w:rPr>
      </w:pPr>
    </w:p>
    <w:p>
      <w:pPr>
        <w:rPr>
          <w:rFonts w:hint="eastAsia"/>
          <w:lang w:val="en-US" w:eastAsia="zh-CN"/>
        </w:rPr>
        <w:sectPr>
          <w:pgSz w:w="11906" w:h="16838"/>
          <w:pgMar w:top="1383" w:right="1080" w:bottom="986" w:left="1080" w:header="851" w:footer="709" w:gutter="0"/>
          <w:cols w:space="720" w:num="1"/>
          <w:docGrid w:linePitch="312" w:charSpace="0"/>
        </w:sectPr>
      </w:pPr>
    </w:p>
    <w:p/>
    <w:p>
      <w:pPr>
        <w:spacing w:line="400" w:lineRule="exact"/>
        <w:jc w:val="center"/>
        <w:rPr>
          <w:b/>
          <w:bCs/>
          <w:sz w:val="32"/>
          <w:szCs w:val="32"/>
        </w:rPr>
      </w:pPr>
      <w:r>
        <w:rPr>
          <w:rFonts w:hint="eastAsia"/>
          <w:b/>
          <w:bCs/>
          <w:sz w:val="32"/>
          <w:szCs w:val="32"/>
        </w:rPr>
        <w:t>第三章   合同主要条款</w:t>
      </w:r>
    </w:p>
    <w:p>
      <w:pPr>
        <w:spacing w:line="560" w:lineRule="exact"/>
        <w:jc w:val="center"/>
        <w:rPr>
          <w:rFonts w:ascii="方正小标宋简体" w:eastAsia="方正小标宋简体"/>
          <w:bCs/>
          <w:sz w:val="44"/>
          <w:szCs w:val="44"/>
        </w:rPr>
      </w:pPr>
      <w:r>
        <w:rPr>
          <w:rFonts w:hint="eastAsia" w:ascii="方正小标宋简体" w:hAnsi="黑体" w:eastAsia="方正小标宋简体"/>
          <w:b/>
          <w:sz w:val="44"/>
          <w:szCs w:val="44"/>
        </w:rPr>
        <w:t>餐厅经营服务合同</w:t>
      </w:r>
    </w:p>
    <w:p>
      <w:pPr>
        <w:spacing w:line="400" w:lineRule="exact"/>
        <w:rPr>
          <w:rFonts w:ascii="宋体" w:hAnsi="宋体" w:cs="宋体"/>
          <w:sz w:val="24"/>
        </w:rPr>
      </w:pPr>
    </w:p>
    <w:p>
      <w:pPr>
        <w:spacing w:line="560" w:lineRule="exact"/>
        <w:rPr>
          <w:rFonts w:ascii="仿宋" w:hAnsi="仿宋" w:eastAsia="仿宋" w:cs="宋体"/>
          <w:sz w:val="24"/>
        </w:rPr>
      </w:pPr>
      <w:r>
        <w:rPr>
          <w:rFonts w:hint="eastAsia" w:ascii="仿宋" w:hAnsi="仿宋" w:eastAsia="仿宋" w:cs="宋体"/>
          <w:sz w:val="24"/>
        </w:rPr>
        <w:t>甲方：江苏师范大学科文学院（以下简称“甲方”）</w:t>
      </w:r>
    </w:p>
    <w:p>
      <w:pPr>
        <w:spacing w:line="560" w:lineRule="exact"/>
        <w:rPr>
          <w:rFonts w:ascii="仿宋" w:hAnsi="仿宋" w:eastAsia="仿宋" w:cs="宋体"/>
          <w:sz w:val="24"/>
          <w:u w:val="single"/>
        </w:rPr>
      </w:pPr>
      <w:r>
        <w:rPr>
          <w:rFonts w:hint="eastAsia" w:ascii="仿宋" w:hAnsi="仿宋" w:eastAsia="仿宋" w:cs="宋体"/>
          <w:sz w:val="24"/>
        </w:rPr>
        <w:t>乙方：</w:t>
      </w:r>
      <w:r>
        <w:rPr>
          <w:rFonts w:ascii="仿宋" w:hAnsi="仿宋" w:eastAsia="仿宋" w:cs="宋体"/>
          <w:sz w:val="24"/>
          <w:u w:val="single"/>
        </w:rPr>
        <w:t xml:space="preserve">                    </w:t>
      </w:r>
      <w:r>
        <w:rPr>
          <w:rFonts w:hint="eastAsia" w:ascii="仿宋" w:hAnsi="仿宋" w:eastAsia="仿宋" w:cs="宋体"/>
          <w:sz w:val="24"/>
        </w:rPr>
        <w:t>（以下简称“乙方”）</w:t>
      </w:r>
    </w:p>
    <w:p>
      <w:pPr>
        <w:spacing w:line="560" w:lineRule="exact"/>
        <w:ind w:firstLine="480" w:firstLineChars="200"/>
        <w:rPr>
          <w:rFonts w:ascii="仿宋" w:hAnsi="仿宋" w:eastAsia="仿宋" w:cs="宋体"/>
          <w:sz w:val="24"/>
        </w:rPr>
      </w:pPr>
    </w:p>
    <w:p>
      <w:pPr>
        <w:spacing w:line="560" w:lineRule="exact"/>
        <w:ind w:firstLine="480" w:firstLineChars="200"/>
        <w:rPr>
          <w:rFonts w:hint="eastAsia" w:ascii="仿宋" w:hAnsi="仿宋" w:eastAsia="仿宋" w:cs="宋体"/>
          <w:sz w:val="24"/>
        </w:rPr>
      </w:pPr>
      <w:r>
        <w:rPr>
          <w:rFonts w:hint="eastAsia" w:ascii="仿宋" w:hAnsi="仿宋" w:eastAsia="仿宋" w:cs="宋体"/>
          <w:sz w:val="24"/>
        </w:rPr>
        <w:t>经招标，在自愿、平等、协商一致的基础上，甲方将江苏师范大学科文学院潘安湖校区</w:t>
      </w:r>
    </w:p>
    <w:p>
      <w:pPr>
        <w:spacing w:line="560" w:lineRule="exact"/>
        <w:ind w:firstLine="480" w:firstLineChars="200"/>
        <w:rPr>
          <w:rFonts w:ascii="仿宋" w:hAnsi="仿宋" w:eastAsia="仿宋" w:cs="宋体"/>
          <w:sz w:val="24"/>
        </w:rPr>
      </w:pPr>
      <w:r>
        <w:rPr>
          <w:rFonts w:ascii="仿宋" w:hAnsi="仿宋" w:eastAsia="仿宋" w:cs="宋体"/>
          <w:sz w:val="24"/>
          <w:u w:val="single"/>
        </w:rPr>
        <w:t xml:space="preserve"> </w:t>
      </w:r>
      <w:r>
        <w:rPr>
          <w:rFonts w:hint="eastAsia" w:ascii="仿宋" w:hAnsi="仿宋" w:eastAsia="仿宋" w:cs="宋体"/>
          <w:sz w:val="24"/>
          <w:u w:val="single"/>
          <w:lang w:val="en-US" w:eastAsia="zh-CN"/>
        </w:rPr>
        <w:t xml:space="preserve">    </w:t>
      </w:r>
      <w:r>
        <w:rPr>
          <w:rFonts w:ascii="仿宋" w:hAnsi="仿宋" w:eastAsia="仿宋" w:cs="宋体"/>
          <w:sz w:val="24"/>
          <w:u w:val="single"/>
        </w:rPr>
        <w:t xml:space="preserve">   </w:t>
      </w:r>
      <w:r>
        <w:rPr>
          <w:rFonts w:hint="eastAsia" w:ascii="仿宋" w:hAnsi="仿宋" w:eastAsia="仿宋" w:cs="宋体"/>
          <w:sz w:val="24"/>
        </w:rPr>
        <w:t>委托给乙方</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rPr>
        <w:t>经营。为了明确双方的权利和义务，订立本合同。</w:t>
      </w:r>
    </w:p>
    <w:p>
      <w:pPr>
        <w:spacing w:line="560" w:lineRule="exact"/>
        <w:ind w:firstLine="480" w:firstLineChars="200"/>
        <w:rPr>
          <w:rFonts w:ascii="黑体" w:hAnsi="黑体" w:eastAsia="黑体" w:cs="宋体"/>
          <w:sz w:val="24"/>
        </w:rPr>
      </w:pPr>
      <w:r>
        <w:rPr>
          <w:rFonts w:hint="eastAsia" w:ascii="黑体" w:hAnsi="黑体" w:eastAsia="黑体" w:cs="宋体"/>
          <w:sz w:val="24"/>
        </w:rPr>
        <w:t>一、基本情况</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图书馆及大学生活动中心轻食餐饮。该餐厅位于图书馆三层北侧走廊、东研讨室及北平台，使用面积约100平方米；大学生活动中心一层西侧招聘大厅、咨询室和办公室，使用面积约260平方米。</w:t>
      </w:r>
    </w:p>
    <w:p>
      <w:pPr>
        <w:spacing w:line="560" w:lineRule="exact"/>
        <w:ind w:firstLine="480" w:firstLineChars="200"/>
        <w:rPr>
          <w:rFonts w:ascii="黑体" w:hAnsi="黑体" w:eastAsia="黑体" w:cs="宋体"/>
          <w:sz w:val="24"/>
        </w:rPr>
      </w:pPr>
      <w:r>
        <w:rPr>
          <w:rFonts w:hint="eastAsia" w:ascii="黑体" w:hAnsi="黑体" w:eastAsia="黑体" w:cs="宋体"/>
          <w:sz w:val="24"/>
        </w:rPr>
        <w:t>二、合同期限</w:t>
      </w:r>
    </w:p>
    <w:p>
      <w:pPr>
        <w:widowControl/>
        <w:snapToGrid w:val="0"/>
        <w:spacing w:line="560" w:lineRule="exact"/>
        <w:ind w:firstLine="480" w:firstLineChars="200"/>
        <w:jc w:val="left"/>
        <w:rPr>
          <w:rFonts w:ascii="仿宋" w:hAnsi="仿宋" w:eastAsia="仿宋" w:cs="宋体"/>
          <w:kern w:val="0"/>
          <w:sz w:val="24"/>
        </w:rPr>
      </w:pPr>
      <w:r>
        <w:rPr>
          <w:rFonts w:hint="eastAsia" w:ascii="仿宋" w:hAnsi="仿宋" w:eastAsia="仿宋" w:cs="宋体"/>
          <w:kern w:val="0"/>
          <w:sz w:val="24"/>
        </w:rPr>
        <w:t>经营期限为</w:t>
      </w:r>
      <w:r>
        <w:rPr>
          <w:rFonts w:ascii="仿宋" w:hAnsi="仿宋" w:eastAsia="仿宋" w:cs="宋体"/>
          <w:kern w:val="0"/>
          <w:sz w:val="24"/>
          <w:u w:val="single"/>
        </w:rPr>
        <w:t xml:space="preserve">        </w:t>
      </w:r>
      <w:r>
        <w:rPr>
          <w:rFonts w:hint="eastAsia" w:ascii="仿宋" w:hAnsi="仿宋" w:eastAsia="仿宋" w:cs="宋体"/>
          <w:kern w:val="0"/>
          <w:sz w:val="24"/>
        </w:rPr>
        <w:t>，采取“</w:t>
      </w:r>
      <w:r>
        <w:rPr>
          <w:rFonts w:ascii="仿宋" w:hAnsi="仿宋" w:eastAsia="仿宋" w:cs="宋体"/>
          <w:kern w:val="0"/>
          <w:sz w:val="24"/>
          <w:u w:val="single"/>
        </w:rPr>
        <w:t xml:space="preserve">     </w:t>
      </w:r>
      <w:r>
        <w:rPr>
          <w:rFonts w:hint="eastAsia" w:ascii="仿宋" w:hAnsi="仿宋" w:eastAsia="仿宋" w:cs="宋体"/>
          <w:kern w:val="0"/>
          <w:sz w:val="24"/>
        </w:rPr>
        <w:t>”模式，即首签合同期限为</w:t>
      </w:r>
      <w:r>
        <w:rPr>
          <w:rFonts w:ascii="仿宋" w:hAnsi="仿宋" w:eastAsia="仿宋" w:cs="宋体"/>
          <w:kern w:val="0"/>
          <w:sz w:val="24"/>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年（</w:t>
      </w:r>
      <w:r>
        <w:rPr>
          <w:rFonts w:ascii="仿宋" w:hAnsi="仿宋" w:eastAsia="仿宋" w:cs="宋体"/>
          <w:kern w:val="0"/>
          <w:sz w:val="24"/>
          <w:u w:val="single"/>
        </w:rPr>
        <w:t xml:space="preserve">    </w:t>
      </w:r>
      <w:r>
        <w:rPr>
          <w:rFonts w:hint="eastAsia" w:ascii="仿宋" w:hAnsi="仿宋" w:eastAsia="仿宋" w:cs="宋体"/>
          <w:kern w:val="0"/>
          <w:sz w:val="24"/>
        </w:rPr>
        <w:t>年</w:t>
      </w:r>
      <w:r>
        <w:rPr>
          <w:rFonts w:ascii="仿宋" w:hAnsi="仿宋" w:eastAsia="仿宋" w:cs="宋体"/>
          <w:kern w:val="0"/>
          <w:sz w:val="24"/>
          <w:u w:val="single"/>
        </w:rPr>
        <w:t xml:space="preserve">   </w:t>
      </w:r>
      <w:r>
        <w:rPr>
          <w:rFonts w:hint="eastAsia" w:ascii="仿宋" w:hAnsi="仿宋" w:eastAsia="仿宋" w:cs="宋体"/>
          <w:kern w:val="0"/>
          <w:sz w:val="24"/>
        </w:rPr>
        <w:t>月</w:t>
      </w:r>
      <w:r>
        <w:rPr>
          <w:rFonts w:ascii="仿宋" w:hAnsi="仿宋" w:eastAsia="仿宋" w:cs="宋体"/>
          <w:kern w:val="0"/>
          <w:sz w:val="24"/>
          <w:u w:val="single"/>
        </w:rPr>
        <w:t xml:space="preserve">  </w:t>
      </w:r>
      <w:r>
        <w:rPr>
          <w:rFonts w:hint="eastAsia" w:ascii="仿宋" w:hAnsi="仿宋" w:eastAsia="仿宋" w:cs="宋体"/>
          <w:kern w:val="0"/>
          <w:sz w:val="24"/>
        </w:rPr>
        <w:t>日至</w:t>
      </w:r>
      <w:r>
        <w:rPr>
          <w:rFonts w:ascii="仿宋" w:hAnsi="仿宋" w:eastAsia="仿宋" w:cs="宋体"/>
          <w:kern w:val="0"/>
          <w:sz w:val="24"/>
          <w:u w:val="single"/>
        </w:rPr>
        <w:t xml:space="preserve">    </w:t>
      </w:r>
      <w:r>
        <w:rPr>
          <w:rFonts w:hint="eastAsia" w:ascii="仿宋" w:hAnsi="仿宋" w:eastAsia="仿宋" w:cs="宋体"/>
          <w:kern w:val="0"/>
          <w:sz w:val="24"/>
        </w:rPr>
        <w:t>年</w:t>
      </w:r>
      <w:r>
        <w:rPr>
          <w:rFonts w:ascii="仿宋" w:hAnsi="仿宋" w:eastAsia="仿宋" w:cs="宋体"/>
          <w:kern w:val="0"/>
          <w:sz w:val="24"/>
          <w:u w:val="single"/>
        </w:rPr>
        <w:t xml:space="preserve">   </w:t>
      </w:r>
      <w:r>
        <w:rPr>
          <w:rFonts w:hint="eastAsia" w:ascii="仿宋" w:hAnsi="仿宋" w:eastAsia="仿宋" w:cs="宋体"/>
          <w:kern w:val="0"/>
          <w:sz w:val="24"/>
        </w:rPr>
        <w:t>月</w:t>
      </w:r>
      <w:r>
        <w:rPr>
          <w:rFonts w:ascii="仿宋" w:hAnsi="仿宋" w:eastAsia="仿宋" w:cs="宋体"/>
          <w:kern w:val="0"/>
          <w:sz w:val="24"/>
          <w:u w:val="single"/>
        </w:rPr>
        <w:t xml:space="preserve">  </w:t>
      </w:r>
      <w:r>
        <w:rPr>
          <w:rFonts w:hint="eastAsia" w:ascii="仿宋" w:hAnsi="仿宋" w:eastAsia="仿宋" w:cs="宋体"/>
          <w:kern w:val="0"/>
          <w:sz w:val="24"/>
        </w:rPr>
        <w:t>日），首签期满后，如无违法、违规、违约行为和安全责任事故，可续签下一阶段合同，否则合同予以终止。</w:t>
      </w:r>
    </w:p>
    <w:p>
      <w:pPr>
        <w:spacing w:line="560" w:lineRule="exact"/>
        <w:ind w:firstLine="480" w:firstLineChars="200"/>
        <w:rPr>
          <w:rFonts w:ascii="黑体" w:hAnsi="黑体" w:eastAsia="黑体" w:cs="宋体"/>
          <w:sz w:val="24"/>
        </w:rPr>
      </w:pPr>
      <w:r>
        <w:rPr>
          <w:rFonts w:hint="eastAsia" w:ascii="黑体" w:hAnsi="黑体" w:eastAsia="黑体" w:cs="宋体"/>
          <w:sz w:val="24"/>
        </w:rPr>
        <w:t>三、经营管理有关规定</w:t>
      </w:r>
    </w:p>
    <w:p>
      <w:pPr>
        <w:spacing w:line="560" w:lineRule="exact"/>
        <w:ind w:firstLine="480" w:firstLineChars="200"/>
        <w:rPr>
          <w:rFonts w:ascii="仿宋" w:hAnsi="仿宋" w:eastAsia="仿宋" w:cs="宋体"/>
          <w:sz w:val="24"/>
        </w:rPr>
      </w:pPr>
      <w:r>
        <w:rPr>
          <w:rFonts w:hint="eastAsia" w:ascii="仿宋" w:hAnsi="仿宋" w:eastAsia="仿宋" w:cs="宋体"/>
          <w:sz w:val="24"/>
        </w:rPr>
        <w:t>（一）签订合同前乙方向甲方缴纳履约保证金人民币</w:t>
      </w:r>
      <w:r>
        <w:rPr>
          <w:rFonts w:ascii="仿宋" w:hAnsi="仿宋" w:eastAsia="仿宋" w:cs="宋体"/>
          <w:sz w:val="24"/>
          <w:u w:val="single"/>
        </w:rPr>
        <w:t xml:space="preserve"> 壹拾 </w:t>
      </w:r>
      <w:r>
        <w:rPr>
          <w:rFonts w:hint="eastAsia" w:ascii="仿宋" w:hAnsi="仿宋" w:eastAsia="仿宋" w:cs="宋体"/>
          <w:sz w:val="24"/>
        </w:rPr>
        <w:t>万元整。若甲方违约不履行合同，应退还乙方缴纳的履约保证金（无息），若乙方违约不履行合同或有其他违约行为，甲方有权没收乙方缴纳的全部履约保证金。如遇国家行政机关、学</w:t>
      </w:r>
      <w:r>
        <w:rPr>
          <w:rFonts w:hint="eastAsia" w:ascii="仿宋" w:hAnsi="仿宋" w:eastAsia="仿宋" w:cs="宋体"/>
          <w:sz w:val="24"/>
          <w:lang w:eastAsia="zh-CN"/>
        </w:rPr>
        <w:t>院</w:t>
      </w:r>
      <w:r>
        <w:rPr>
          <w:rFonts w:hint="eastAsia" w:ascii="仿宋" w:hAnsi="仿宋" w:eastAsia="仿宋" w:cs="宋体"/>
          <w:sz w:val="24"/>
        </w:rPr>
        <w:t>政策性调整或不可抗力导致此合同不能继续执行，甲方退还乙方缴纳的履约保证金（无息），该合同解除，双方互不承担违约责任。</w:t>
      </w:r>
    </w:p>
    <w:p>
      <w:pPr>
        <w:spacing w:line="560" w:lineRule="exact"/>
        <w:ind w:firstLine="480" w:firstLineChars="200"/>
        <w:rPr>
          <w:rFonts w:ascii="仿宋" w:hAnsi="仿宋" w:eastAsia="仿宋" w:cs="宋体"/>
          <w:color w:val="FF0000"/>
          <w:sz w:val="24"/>
        </w:rPr>
      </w:pPr>
      <w:r>
        <w:rPr>
          <w:rFonts w:hint="eastAsia" w:ascii="仿宋" w:hAnsi="仿宋" w:eastAsia="仿宋" w:cs="宋体"/>
          <w:sz w:val="24"/>
        </w:rPr>
        <w:t>（二）全部食材均须向商业饮食管理中心报备审批后方可采购，严禁私自采购，一经发现，严肃处理。第一次发现乙方向甲方缴纳</w:t>
      </w:r>
      <w:r>
        <w:rPr>
          <w:rFonts w:ascii="仿宋" w:hAnsi="仿宋" w:eastAsia="仿宋" w:cs="宋体"/>
          <w:sz w:val="24"/>
        </w:rPr>
        <w:t>1000元违约</w:t>
      </w:r>
      <w:r>
        <w:rPr>
          <w:rFonts w:hint="eastAsia" w:ascii="仿宋" w:hAnsi="仿宋" w:eastAsia="仿宋" w:cs="宋体"/>
          <w:sz w:val="24"/>
        </w:rPr>
        <w:t>金，第二次发现乙方向甲方缴纳</w:t>
      </w:r>
      <w:r>
        <w:rPr>
          <w:rFonts w:ascii="仿宋" w:hAnsi="仿宋" w:eastAsia="仿宋" w:cs="宋体"/>
          <w:sz w:val="24"/>
        </w:rPr>
        <w:t>2000元违约</w:t>
      </w:r>
      <w:r>
        <w:rPr>
          <w:rFonts w:hint="eastAsia" w:ascii="仿宋" w:hAnsi="仿宋" w:eastAsia="仿宋" w:cs="宋体"/>
          <w:sz w:val="24"/>
        </w:rPr>
        <w:t>金，第三次乙方向甲方缴纳违约金</w:t>
      </w:r>
      <w:r>
        <w:rPr>
          <w:rFonts w:ascii="仿宋" w:hAnsi="仿宋" w:eastAsia="仿宋" w:cs="宋体"/>
          <w:sz w:val="24"/>
        </w:rPr>
        <w:t>10000</w:t>
      </w:r>
      <w:r>
        <w:rPr>
          <w:rFonts w:hint="eastAsia" w:ascii="仿宋" w:hAnsi="仿宋" w:eastAsia="仿宋" w:cs="宋体"/>
          <w:sz w:val="24"/>
        </w:rPr>
        <w:t>元，甲方可选择解除经营合同。</w:t>
      </w:r>
    </w:p>
    <w:p>
      <w:pPr>
        <w:snapToGrid w:val="0"/>
        <w:spacing w:line="560" w:lineRule="exact"/>
        <w:ind w:firstLine="464" w:firstLineChars="200"/>
        <w:rPr>
          <w:rFonts w:ascii="仿宋" w:hAnsi="仿宋" w:eastAsia="仿宋" w:cs="宋体"/>
          <w:spacing w:val="-4"/>
          <w:kern w:val="0"/>
          <w:sz w:val="24"/>
        </w:rPr>
      </w:pPr>
      <w:r>
        <w:rPr>
          <w:rFonts w:hint="eastAsia" w:ascii="仿宋" w:hAnsi="仿宋" w:eastAsia="仿宋" w:cs="宋体"/>
          <w:spacing w:val="-4"/>
          <w:kern w:val="0"/>
          <w:sz w:val="24"/>
        </w:rPr>
        <w:t>（三）严格按照合同上规定的品种进行经营，严禁超范围经营。如需新增品种和项目须经</w:t>
      </w:r>
      <w:r>
        <w:rPr>
          <w:rFonts w:hint="eastAsia" w:ascii="仿宋" w:hAnsi="仿宋" w:eastAsia="仿宋" w:cs="宋体"/>
          <w:sz w:val="24"/>
        </w:rPr>
        <w:t>商业饮食管理中心</w:t>
      </w:r>
      <w:r>
        <w:rPr>
          <w:rFonts w:hint="eastAsia" w:ascii="仿宋" w:hAnsi="仿宋" w:eastAsia="仿宋" w:cs="宋体"/>
          <w:spacing w:val="-4"/>
          <w:kern w:val="0"/>
          <w:sz w:val="24"/>
        </w:rPr>
        <w:t>批准后方可经营，如私自增加新品种，每发现一次</w:t>
      </w:r>
      <w:r>
        <w:rPr>
          <w:rFonts w:hint="eastAsia" w:ascii="仿宋" w:hAnsi="仿宋" w:eastAsia="仿宋" w:cs="宋体"/>
          <w:sz w:val="24"/>
        </w:rPr>
        <w:t>乙方向甲方缴纳</w:t>
      </w:r>
      <w:r>
        <w:rPr>
          <w:rFonts w:ascii="仿宋" w:hAnsi="仿宋" w:eastAsia="仿宋" w:cs="宋体"/>
          <w:sz w:val="24"/>
        </w:rPr>
        <w:t>1000元违约金。</w:t>
      </w:r>
    </w:p>
    <w:p>
      <w:pPr>
        <w:snapToGrid w:val="0"/>
        <w:spacing w:line="560" w:lineRule="exact"/>
        <w:ind w:firstLine="464" w:firstLineChars="200"/>
        <w:rPr>
          <w:rFonts w:ascii="仿宋" w:hAnsi="仿宋" w:eastAsia="仿宋" w:cs="宋体"/>
          <w:spacing w:val="-4"/>
          <w:kern w:val="0"/>
          <w:sz w:val="24"/>
        </w:rPr>
      </w:pPr>
      <w:r>
        <w:rPr>
          <w:rFonts w:hint="eastAsia" w:ascii="仿宋" w:hAnsi="仿宋" w:eastAsia="仿宋" w:cs="宋体"/>
          <w:spacing w:val="-4"/>
          <w:kern w:val="0"/>
          <w:sz w:val="24"/>
        </w:rPr>
        <w:t>（四）经营期间，严禁收取现金，每发现一次</w:t>
      </w:r>
      <w:r>
        <w:rPr>
          <w:rFonts w:hint="eastAsia" w:ascii="仿宋" w:hAnsi="仿宋" w:eastAsia="仿宋" w:cs="宋体"/>
          <w:sz w:val="24"/>
        </w:rPr>
        <w:t>乙方向甲方缴纳</w:t>
      </w:r>
      <w:r>
        <w:rPr>
          <w:rFonts w:ascii="仿宋" w:hAnsi="仿宋" w:eastAsia="仿宋" w:cs="宋体"/>
          <w:sz w:val="24"/>
        </w:rPr>
        <w:t>500元违约金</w:t>
      </w:r>
      <w:r>
        <w:rPr>
          <w:rFonts w:hint="eastAsia" w:ascii="仿宋" w:hAnsi="仿宋" w:eastAsia="仿宋" w:cs="宋体"/>
          <w:spacing w:val="-4"/>
          <w:kern w:val="0"/>
          <w:sz w:val="24"/>
        </w:rPr>
        <w:t>，情节严重者直接取消经营合同。</w:t>
      </w:r>
    </w:p>
    <w:p>
      <w:pPr>
        <w:snapToGrid w:val="0"/>
        <w:spacing w:line="560" w:lineRule="exact"/>
        <w:ind w:firstLine="464" w:firstLineChars="200"/>
        <w:rPr>
          <w:rFonts w:ascii="仿宋" w:hAnsi="仿宋" w:eastAsia="仿宋" w:cs="宋体"/>
          <w:color w:val="auto"/>
          <w:spacing w:val="-4"/>
          <w:kern w:val="0"/>
          <w:sz w:val="24"/>
        </w:rPr>
      </w:pPr>
      <w:r>
        <w:rPr>
          <w:rFonts w:hint="eastAsia" w:ascii="仿宋" w:hAnsi="仿宋" w:eastAsia="仿宋" w:cs="宋体"/>
          <w:color w:val="auto"/>
          <w:spacing w:val="-4"/>
          <w:kern w:val="0"/>
          <w:sz w:val="24"/>
        </w:rPr>
        <w:t>（五）支付宝等电子收付规定。严禁未经甲方批准，私自使用支付宝等电子收付手段收款。</w:t>
      </w:r>
      <w:r>
        <w:rPr>
          <w:rFonts w:hint="eastAsia" w:ascii="仿宋" w:hAnsi="仿宋" w:eastAsia="仿宋" w:cs="宋体"/>
          <w:color w:val="auto"/>
          <w:sz w:val="24"/>
        </w:rPr>
        <w:t>商业饮食管理中心</w:t>
      </w:r>
      <w:r>
        <w:rPr>
          <w:rFonts w:hint="eastAsia" w:ascii="仿宋" w:hAnsi="仿宋" w:eastAsia="仿宋" w:cs="宋体"/>
          <w:color w:val="auto"/>
          <w:spacing w:val="-4"/>
          <w:kern w:val="0"/>
          <w:sz w:val="24"/>
        </w:rPr>
        <w:t>对支付宝等电子收付进行统一管理，需要使用支付宝进行收付的，必须先行书面申请，经批准后使用学院统一发放的二维码进行收款，否则按收现金条款进行处理。</w:t>
      </w:r>
    </w:p>
    <w:p>
      <w:pPr>
        <w:snapToGrid w:val="0"/>
        <w:spacing w:line="560" w:lineRule="exact"/>
        <w:ind w:firstLine="464" w:firstLineChars="200"/>
        <w:rPr>
          <w:rFonts w:ascii="仿宋" w:hAnsi="仿宋" w:eastAsia="仿宋" w:cs="宋体"/>
          <w:spacing w:val="-4"/>
          <w:kern w:val="0"/>
          <w:sz w:val="24"/>
        </w:rPr>
      </w:pPr>
      <w:r>
        <w:rPr>
          <w:rFonts w:hint="eastAsia" w:ascii="仿宋" w:hAnsi="仿宋" w:eastAsia="仿宋" w:cs="宋体"/>
          <w:spacing w:val="-4"/>
          <w:kern w:val="0"/>
          <w:sz w:val="24"/>
        </w:rPr>
        <w:t>（六）关于外卖的规定。对于有外卖需求的网点，由</w:t>
      </w:r>
      <w:r>
        <w:rPr>
          <w:rFonts w:hint="eastAsia" w:ascii="仿宋" w:hAnsi="仿宋" w:eastAsia="仿宋" w:cs="宋体"/>
          <w:sz w:val="24"/>
        </w:rPr>
        <w:t>商业饮食管理中心</w:t>
      </w:r>
      <w:r>
        <w:rPr>
          <w:rFonts w:hint="eastAsia" w:ascii="仿宋" w:hAnsi="仿宋" w:eastAsia="仿宋" w:cs="宋体"/>
          <w:spacing w:val="-4"/>
          <w:kern w:val="0"/>
          <w:sz w:val="24"/>
        </w:rPr>
        <w:t>牵头统一与外卖平台进行洽谈合作，营业收入由</w:t>
      </w:r>
      <w:r>
        <w:rPr>
          <w:rFonts w:hint="eastAsia" w:ascii="仿宋" w:hAnsi="仿宋" w:eastAsia="仿宋" w:cs="宋体"/>
          <w:sz w:val="24"/>
        </w:rPr>
        <w:t>商业饮食管理中心</w:t>
      </w:r>
      <w:r>
        <w:rPr>
          <w:rFonts w:hint="eastAsia" w:ascii="仿宋" w:hAnsi="仿宋" w:eastAsia="仿宋" w:cs="宋体"/>
          <w:spacing w:val="-4"/>
          <w:kern w:val="0"/>
          <w:sz w:val="24"/>
        </w:rPr>
        <w:t>统一管理。严禁私自加入外卖平台，如有违反，按收取现金的有关条款进行处理。</w:t>
      </w:r>
    </w:p>
    <w:p>
      <w:pPr>
        <w:spacing w:line="560" w:lineRule="exact"/>
        <w:ind w:firstLine="480" w:firstLineChars="200"/>
        <w:rPr>
          <w:rFonts w:ascii="仿宋" w:hAnsi="仿宋" w:eastAsia="仿宋" w:cs="宋体"/>
          <w:sz w:val="24"/>
        </w:rPr>
      </w:pPr>
      <w:r>
        <w:rPr>
          <w:rFonts w:hint="eastAsia" w:ascii="仿宋" w:hAnsi="仿宋" w:eastAsia="仿宋" w:cs="宋体"/>
          <w:sz w:val="24"/>
        </w:rPr>
        <w:t>（七）乙方需按照装修方案终稿足额投入资金改造，甲方将对乙方的施工改造情况进行监督审核，如最终未达到合同约定投入金额，将从中标方食堂营业款中扣除。乙方组织改造施工期间，如未按照约定的装修方案执行，甲方有权终止合同。</w:t>
      </w:r>
    </w:p>
    <w:p>
      <w:pPr>
        <w:spacing w:line="560" w:lineRule="exact"/>
        <w:ind w:firstLine="480" w:firstLineChars="200"/>
        <w:rPr>
          <w:rFonts w:ascii="黑体" w:hAnsi="黑体" w:eastAsia="黑体" w:cs="宋体"/>
          <w:sz w:val="24"/>
        </w:rPr>
      </w:pPr>
      <w:r>
        <w:rPr>
          <w:rFonts w:hint="eastAsia" w:ascii="黑体" w:hAnsi="黑体" w:eastAsia="黑体" w:cs="宋体"/>
          <w:sz w:val="24"/>
        </w:rPr>
        <w:t>四、甲方权利和义务</w:t>
      </w:r>
    </w:p>
    <w:p>
      <w:pPr>
        <w:spacing w:line="560" w:lineRule="exact"/>
        <w:ind w:firstLine="480" w:firstLineChars="200"/>
        <w:rPr>
          <w:rFonts w:ascii="仿宋" w:hAnsi="仿宋" w:eastAsia="仿宋" w:cs="宋体"/>
          <w:sz w:val="24"/>
        </w:rPr>
      </w:pPr>
      <w:r>
        <w:rPr>
          <w:rFonts w:hint="eastAsia" w:ascii="仿宋" w:hAnsi="仿宋" w:eastAsia="仿宋" w:cs="宋体"/>
          <w:sz w:val="24"/>
        </w:rPr>
        <w:t>（一）甲方有权依照法律、法规及相关规定对乙方的经营进行管理和监督，乙方须严格遵守相关法律、法规及甲方制定的各种规章制度和操作规范。</w:t>
      </w:r>
    </w:p>
    <w:p>
      <w:pPr>
        <w:spacing w:line="560" w:lineRule="exact"/>
        <w:ind w:firstLine="480" w:firstLineChars="200"/>
        <w:rPr>
          <w:rFonts w:ascii="仿宋" w:hAnsi="仿宋" w:eastAsia="仿宋" w:cs="宋体"/>
          <w:sz w:val="24"/>
        </w:rPr>
      </w:pPr>
      <w:r>
        <w:rPr>
          <w:rFonts w:hint="eastAsia" w:ascii="仿宋" w:hAnsi="仿宋" w:eastAsia="仿宋" w:cs="宋体"/>
          <w:sz w:val="24"/>
        </w:rPr>
        <w:t>（二）甲方应主动了解乙方的经营状况，及时提出指导性意见，为乙方的经营排忧解难。</w:t>
      </w:r>
    </w:p>
    <w:p>
      <w:pPr>
        <w:spacing w:line="560" w:lineRule="exact"/>
        <w:ind w:firstLine="480" w:firstLineChars="200"/>
        <w:rPr>
          <w:rFonts w:ascii="仿宋" w:hAnsi="仿宋" w:eastAsia="仿宋" w:cs="宋体"/>
          <w:sz w:val="24"/>
        </w:rPr>
      </w:pPr>
      <w:r>
        <w:rPr>
          <w:rFonts w:hint="eastAsia" w:ascii="仿宋" w:hAnsi="仿宋" w:eastAsia="仿宋" w:cs="宋体"/>
          <w:sz w:val="24"/>
        </w:rPr>
        <w:t>（三）甲方主动监督乙方执行社会企业管理办法相关要求。</w:t>
      </w:r>
    </w:p>
    <w:p>
      <w:pPr>
        <w:spacing w:line="560" w:lineRule="exact"/>
        <w:ind w:firstLine="480" w:firstLineChars="200"/>
        <w:rPr>
          <w:rFonts w:ascii="仿宋" w:hAnsi="仿宋" w:eastAsia="仿宋" w:cs="宋体"/>
          <w:sz w:val="24"/>
        </w:rPr>
      </w:pPr>
      <w:r>
        <w:rPr>
          <w:rFonts w:hint="eastAsia" w:ascii="仿宋" w:hAnsi="仿宋" w:eastAsia="仿宋" w:cs="宋体"/>
          <w:sz w:val="24"/>
        </w:rPr>
        <w:t>（四）甲方及时为乙方履行合同提供必要的帮助。</w:t>
      </w:r>
    </w:p>
    <w:p>
      <w:pPr>
        <w:spacing w:line="560" w:lineRule="exact"/>
        <w:ind w:firstLine="480" w:firstLineChars="200"/>
        <w:rPr>
          <w:rFonts w:ascii="黑体" w:hAnsi="黑体" w:eastAsia="黑体" w:cs="宋体"/>
          <w:sz w:val="24"/>
        </w:rPr>
      </w:pPr>
      <w:r>
        <w:rPr>
          <w:rFonts w:hint="eastAsia" w:ascii="黑体" w:hAnsi="黑体" w:eastAsia="黑体" w:cs="宋体"/>
          <w:sz w:val="24"/>
        </w:rPr>
        <w:t>五、乙方权利和义务</w:t>
      </w:r>
    </w:p>
    <w:p>
      <w:pPr>
        <w:spacing w:line="560" w:lineRule="exact"/>
        <w:ind w:firstLine="480" w:firstLineChars="200"/>
        <w:rPr>
          <w:rFonts w:ascii="仿宋" w:hAnsi="仿宋" w:eastAsia="仿宋" w:cs="宋体"/>
          <w:sz w:val="24"/>
        </w:rPr>
      </w:pPr>
      <w:r>
        <w:rPr>
          <w:rFonts w:hint="eastAsia" w:ascii="仿宋" w:hAnsi="仿宋" w:eastAsia="仿宋" w:cs="宋体"/>
          <w:sz w:val="24"/>
        </w:rPr>
        <w:t>（一）遵守国家的有关法规、政策，遵守乙方的相关规章制度。除经营本合同约定的项目外，未经甲方同意不得扩大经营项目，否则视为违约，并按每擅自增加一个经营项目乙方向甲方交纳违约金1</w:t>
      </w:r>
      <w:r>
        <w:rPr>
          <w:rFonts w:ascii="仿宋" w:hAnsi="仿宋" w:eastAsia="仿宋" w:cs="宋体"/>
          <w:sz w:val="24"/>
        </w:rPr>
        <w:t>000元。</w:t>
      </w:r>
      <w:r>
        <w:rPr>
          <w:rFonts w:hint="eastAsia" w:ascii="仿宋" w:hAnsi="仿宋" w:eastAsia="仿宋" w:cs="宋体"/>
          <w:sz w:val="24"/>
        </w:rPr>
        <w:t>如确因需要增加经营项目，须书面报商业饮食管理中心批准后实施，因改善经营条件而追加的投资一律由乙方自付。未经甲方同意乙方不得转由他人经营，否则甲方有权终止合同并没收履约保证金。</w:t>
      </w:r>
    </w:p>
    <w:p>
      <w:pPr>
        <w:spacing w:line="560" w:lineRule="exact"/>
        <w:ind w:firstLine="480" w:firstLineChars="200"/>
        <w:rPr>
          <w:rFonts w:ascii="仿宋" w:hAnsi="仿宋" w:eastAsia="仿宋" w:cs="宋体"/>
          <w:sz w:val="24"/>
        </w:rPr>
      </w:pPr>
      <w:r>
        <w:rPr>
          <w:rFonts w:hint="eastAsia" w:ascii="仿宋" w:hAnsi="仿宋" w:eastAsia="仿宋" w:cs="宋体"/>
          <w:sz w:val="24"/>
        </w:rPr>
        <w:t>（二）乙方用工必须符合国家的有关用工政策、符合工作岗位要求。乙方根据需要招聘的工作人员必须取得上岗合格证书、经体检取得健康证等，特殊岗位人员应当有相应的资质证书。乙方聘用人员的住宿由乙方负责安排，甲方不解决住宿。</w:t>
      </w:r>
    </w:p>
    <w:p>
      <w:pPr>
        <w:spacing w:line="560" w:lineRule="exact"/>
        <w:ind w:firstLine="480" w:firstLineChars="200"/>
        <w:rPr>
          <w:rFonts w:ascii="仿宋" w:hAnsi="仿宋" w:eastAsia="仿宋" w:cs="宋体"/>
          <w:sz w:val="24"/>
        </w:rPr>
      </w:pPr>
      <w:r>
        <w:rPr>
          <w:rFonts w:hint="eastAsia" w:ascii="仿宋" w:hAnsi="仿宋" w:eastAsia="仿宋" w:cs="宋体"/>
          <w:sz w:val="24"/>
        </w:rPr>
        <w:t>（三）经营期间乙方必须对职工进行劳动安全教育和管理，严格执行安全操作规程，加强安全检查，杜绝安全隐患。一旦出现人身伤、亡事故，乙方承担全部赔偿责任。</w:t>
      </w:r>
    </w:p>
    <w:p>
      <w:pPr>
        <w:snapToGrid w:val="0"/>
        <w:spacing w:line="560" w:lineRule="exact"/>
        <w:ind w:firstLine="480" w:firstLineChars="200"/>
        <w:rPr>
          <w:rFonts w:ascii="仿宋" w:hAnsi="仿宋" w:eastAsia="仿宋" w:cs="宋体"/>
          <w:sz w:val="24"/>
        </w:rPr>
      </w:pPr>
      <w:r>
        <w:rPr>
          <w:rFonts w:hint="eastAsia" w:ascii="仿宋" w:hAnsi="仿宋" w:eastAsia="仿宋" w:cs="宋体"/>
          <w:sz w:val="24"/>
        </w:rPr>
        <w:t>（四）认真贯彻执行《食品安全法》、《学校食堂与学生集体用餐卫生管理规定》和各项管理制度，加强餐厅运行安全监督管理，根据需要聘请甲方</w:t>
      </w:r>
      <w:r>
        <w:rPr>
          <w:rFonts w:ascii="仿宋" w:hAnsi="仿宋" w:eastAsia="仿宋" w:cs="宋体"/>
          <w:sz w:val="24"/>
          <w:u w:val="single"/>
        </w:rPr>
        <w:t xml:space="preserve"> </w:t>
      </w:r>
      <w:r>
        <w:rPr>
          <w:rFonts w:hint="eastAsia" w:ascii="仿宋" w:hAnsi="仿宋" w:eastAsia="仿宋" w:cs="宋体"/>
          <w:sz w:val="24"/>
          <w:u w:val="single"/>
        </w:rPr>
        <w:t>1-2</w:t>
      </w:r>
      <w:r>
        <w:rPr>
          <w:rFonts w:ascii="仿宋" w:hAnsi="仿宋" w:eastAsia="仿宋" w:cs="宋体"/>
          <w:sz w:val="24"/>
          <w:u w:val="single"/>
        </w:rPr>
        <w:t xml:space="preserve"> </w:t>
      </w:r>
      <w:r>
        <w:rPr>
          <w:rFonts w:hint="eastAsia" w:ascii="仿宋" w:hAnsi="仿宋" w:eastAsia="仿宋" w:cs="宋体"/>
          <w:sz w:val="24"/>
        </w:rPr>
        <w:t>名食品安全管理员，负责日常食品卫生安全监督管理工作。做好防火、防盗、防事故工作，防止和杜绝食物中毒事件发生，一旦出现食物中毒，乙方承担全部责任。因出现事故而给甲方造成影响的，甲方有权根据情节轻重追究乙方一定数额的违约金，违约金的标准按照事故全部损失的</w:t>
      </w:r>
      <w:r>
        <w:rPr>
          <w:rFonts w:ascii="仿宋" w:hAnsi="仿宋" w:eastAsia="仿宋" w:cs="宋体"/>
          <w:sz w:val="24"/>
        </w:rPr>
        <w:t>20%（包括甲方和乙方的损失）计算，甲方也可以随时终止合同并依法追究其法律责任。</w:t>
      </w:r>
    </w:p>
    <w:p>
      <w:pPr>
        <w:spacing w:line="560" w:lineRule="exact"/>
        <w:ind w:firstLine="480" w:firstLineChars="200"/>
        <w:rPr>
          <w:rFonts w:ascii="仿宋" w:hAnsi="仿宋" w:eastAsia="仿宋" w:cs="宋体"/>
          <w:sz w:val="24"/>
        </w:rPr>
      </w:pPr>
      <w:r>
        <w:rPr>
          <w:rFonts w:hint="eastAsia" w:ascii="仿宋" w:hAnsi="仿宋" w:eastAsia="仿宋" w:cs="宋体"/>
          <w:sz w:val="24"/>
        </w:rPr>
        <w:t>（五）经营期间，乙方自筹资金，自主经营，自负盈亏</w:t>
      </w:r>
      <w:r>
        <w:rPr>
          <w:rFonts w:ascii="仿宋" w:hAnsi="仿宋" w:eastAsia="仿宋" w:cs="宋体"/>
          <w:sz w:val="24"/>
        </w:rPr>
        <w:t>,自担风险。</w:t>
      </w:r>
    </w:p>
    <w:p>
      <w:pPr>
        <w:spacing w:line="560" w:lineRule="exact"/>
        <w:ind w:firstLine="480" w:firstLineChars="200"/>
        <w:rPr>
          <w:rFonts w:ascii="仿宋" w:hAnsi="仿宋" w:eastAsia="仿宋" w:cs="宋体"/>
          <w:sz w:val="24"/>
        </w:rPr>
      </w:pPr>
      <w:r>
        <w:rPr>
          <w:rFonts w:hint="eastAsia" w:ascii="仿宋" w:hAnsi="仿宋" w:eastAsia="仿宋" w:cs="宋体"/>
          <w:sz w:val="24"/>
        </w:rPr>
        <w:t>（六）经营期间的水、电、原材料、售饭系统使用费、劳务费及所需设备购置费、维修费、低值易耗品购置费等由乙方自行负担。</w:t>
      </w:r>
    </w:p>
    <w:p>
      <w:pPr>
        <w:spacing w:line="560" w:lineRule="exact"/>
        <w:ind w:firstLine="480" w:firstLineChars="200"/>
        <w:rPr>
          <w:rFonts w:ascii="仿宋" w:hAnsi="仿宋" w:eastAsia="仿宋" w:cs="宋体"/>
          <w:sz w:val="24"/>
        </w:rPr>
      </w:pPr>
      <w:r>
        <w:rPr>
          <w:rFonts w:hint="eastAsia" w:ascii="仿宋" w:hAnsi="仿宋" w:eastAsia="仿宋" w:cs="宋体"/>
          <w:sz w:val="24"/>
        </w:rPr>
        <w:t>（七）乙方依照法律、法规自主聘用工作人员并负有对聘用人员进行的各项教育、考核和管理责任。</w:t>
      </w:r>
    </w:p>
    <w:p>
      <w:pPr>
        <w:spacing w:line="560" w:lineRule="exact"/>
        <w:ind w:firstLine="480" w:firstLineChars="200"/>
        <w:rPr>
          <w:rFonts w:ascii="仿宋" w:hAnsi="仿宋" w:eastAsia="仿宋" w:cs="宋体"/>
          <w:sz w:val="24"/>
        </w:rPr>
      </w:pPr>
      <w:r>
        <w:rPr>
          <w:rFonts w:hint="eastAsia" w:ascii="仿宋" w:hAnsi="仿宋" w:eastAsia="仿宋" w:cs="宋体"/>
          <w:sz w:val="24"/>
        </w:rPr>
        <w:t>（八）乙方所招聘的工作人员是乙方的职工或雇员，和甲方不存在雇佣关系或劳动合同关系。乙方对所招聘的雇员应按时发放工资或报酬，并按相关法律、法规办理社会保险等。乙方聘请的工作人员，其工资、福利、社会保险由乙方自行解决。所聘请的甲方食品安全管理员人员费用由乙方承担。</w:t>
      </w:r>
    </w:p>
    <w:p>
      <w:pPr>
        <w:spacing w:line="560" w:lineRule="exact"/>
        <w:ind w:firstLine="480" w:firstLineChars="200"/>
        <w:rPr>
          <w:rFonts w:ascii="仿宋" w:hAnsi="仿宋" w:eastAsia="仿宋" w:cs="宋体"/>
          <w:sz w:val="24"/>
        </w:rPr>
      </w:pPr>
      <w:r>
        <w:rPr>
          <w:rFonts w:hint="eastAsia" w:ascii="仿宋" w:hAnsi="仿宋" w:eastAsia="仿宋" w:cs="宋体"/>
          <w:sz w:val="24"/>
        </w:rPr>
        <w:t>（九）乙方应妥善保管、保养、使用甲方所提供的设施设备，定期保洁、检修、养护，保证其正常使用，经营期满，乙方应如数返还甲方提供的设备，在经营期间，若出现故障，乙方自行排除，费用由乙方承担，如有损坏或丢失由乙方修复或赔偿。负责操作间、餐厅等处的房屋、设施的保洁及正常使用，并支付餐厅等公共区域的保洁、维修、水电等费用。</w:t>
      </w:r>
    </w:p>
    <w:p>
      <w:pPr>
        <w:spacing w:line="560" w:lineRule="exact"/>
        <w:ind w:firstLine="480" w:firstLineChars="200"/>
        <w:rPr>
          <w:rFonts w:ascii="仿宋" w:hAnsi="仿宋" w:eastAsia="仿宋" w:cs="宋体"/>
          <w:sz w:val="24"/>
        </w:rPr>
      </w:pPr>
      <w:r>
        <w:rPr>
          <w:rFonts w:hint="eastAsia" w:ascii="仿宋" w:hAnsi="仿宋" w:eastAsia="仿宋" w:cs="宋体"/>
          <w:sz w:val="24"/>
        </w:rPr>
        <w:t>（十）房屋等固有设施不得擅自改造，确需要改造的，必须提供有资质的设计部门出具的设计图纸，并报请甲方同意后方可自筹资金改造，改造不得触动房屋的主体结构，影响房屋稳固，合同期满乙方在房屋内添附的附合物（可移动的除外）属甲方所有。未经同意擅自改造的，甲方有权令其恢复原状，并视其整改情况乙方须向甲方交纳违约金</w:t>
      </w:r>
      <w:r>
        <w:rPr>
          <w:rFonts w:ascii="仿宋" w:hAnsi="仿宋" w:eastAsia="仿宋" w:cs="宋体"/>
          <w:sz w:val="24"/>
        </w:rPr>
        <w:t>2000-50000元</w:t>
      </w:r>
      <w:r>
        <w:rPr>
          <w:rFonts w:hint="eastAsia" w:ascii="仿宋" w:hAnsi="仿宋" w:eastAsia="仿宋" w:cs="宋体"/>
          <w:sz w:val="24"/>
        </w:rPr>
        <w:t>。不得擅自将房屋租、借他人，否则甲方有权解除合同。</w:t>
      </w:r>
    </w:p>
    <w:p>
      <w:pPr>
        <w:spacing w:line="560" w:lineRule="exact"/>
        <w:ind w:firstLine="480" w:firstLineChars="200"/>
        <w:rPr>
          <w:rFonts w:ascii="仿宋" w:hAnsi="仿宋" w:eastAsia="仿宋" w:cs="宋体"/>
          <w:color w:val="FF0000"/>
          <w:sz w:val="24"/>
        </w:rPr>
      </w:pPr>
      <w:r>
        <w:rPr>
          <w:rFonts w:hint="eastAsia" w:ascii="仿宋" w:hAnsi="仿宋" w:eastAsia="仿宋" w:cs="宋体"/>
          <w:sz w:val="24"/>
        </w:rPr>
        <w:t>（十一）严禁使用瓶装液化气、煤炭类及固体生物质类等作为燃料，</w:t>
      </w:r>
      <w:r>
        <w:rPr>
          <w:rFonts w:hint="eastAsia" w:ascii="仿宋" w:hAnsi="仿宋" w:eastAsia="仿宋" w:cs="宋体"/>
          <w:spacing w:val="-4"/>
          <w:kern w:val="0"/>
          <w:sz w:val="24"/>
        </w:rPr>
        <w:t>每发现一次</w:t>
      </w:r>
      <w:r>
        <w:rPr>
          <w:rFonts w:hint="eastAsia" w:ascii="仿宋" w:hAnsi="仿宋" w:eastAsia="仿宋" w:cs="宋体"/>
          <w:sz w:val="24"/>
        </w:rPr>
        <w:t>乙方向甲方交纳</w:t>
      </w:r>
      <w:r>
        <w:rPr>
          <w:rFonts w:ascii="仿宋" w:hAnsi="仿宋" w:eastAsia="仿宋" w:cs="宋体"/>
          <w:sz w:val="24"/>
        </w:rPr>
        <w:t>2000元违约金</w:t>
      </w:r>
      <w:r>
        <w:rPr>
          <w:rFonts w:hint="eastAsia" w:ascii="仿宋" w:hAnsi="仿宋" w:eastAsia="仿宋" w:cs="宋体"/>
          <w:sz w:val="24"/>
        </w:rPr>
        <w:t>。功能间内现制现售食品，须自行安装通风和排烟设施、设备。</w:t>
      </w:r>
    </w:p>
    <w:p>
      <w:pPr>
        <w:spacing w:line="560" w:lineRule="exact"/>
        <w:ind w:firstLine="480" w:firstLineChars="200"/>
        <w:rPr>
          <w:rFonts w:ascii="仿宋" w:hAnsi="仿宋" w:eastAsia="仿宋" w:cs="宋体"/>
          <w:color w:val="FF0000"/>
          <w:sz w:val="24"/>
        </w:rPr>
      </w:pPr>
      <w:r>
        <w:rPr>
          <w:rFonts w:hint="eastAsia" w:ascii="仿宋" w:hAnsi="仿宋" w:eastAsia="仿宋" w:cs="宋体"/>
          <w:sz w:val="24"/>
        </w:rPr>
        <w:t>（十二）毛利率控制。</w:t>
      </w:r>
      <w:r>
        <w:rPr>
          <w:rFonts w:hint="eastAsia" w:ascii="仿宋" w:hAnsi="仿宋" w:eastAsia="仿宋" w:cs="宋体"/>
          <w:color w:val="auto"/>
          <w:sz w:val="24"/>
        </w:rPr>
        <w:t>经营</w:t>
      </w:r>
      <w:r>
        <w:rPr>
          <w:rFonts w:ascii="仿宋" w:hAnsi="仿宋" w:eastAsia="仿宋" w:cs="宋体"/>
          <w:color w:val="auto"/>
          <w:sz w:val="24"/>
        </w:rPr>
        <w:t>餐厅毛利率</w:t>
      </w:r>
      <w:r>
        <w:rPr>
          <w:rFonts w:hint="eastAsia" w:ascii="仿宋" w:hAnsi="仿宋" w:eastAsia="仿宋" w:cs="宋体"/>
          <w:color w:val="auto"/>
          <w:sz w:val="24"/>
        </w:rPr>
        <w:t>应</w:t>
      </w:r>
      <w:r>
        <w:rPr>
          <w:rFonts w:ascii="仿宋" w:hAnsi="仿宋" w:eastAsia="仿宋" w:cs="宋体"/>
          <w:color w:val="auto"/>
          <w:sz w:val="24"/>
        </w:rPr>
        <w:t>控制</w:t>
      </w:r>
      <w:r>
        <w:rPr>
          <w:rFonts w:hint="eastAsia" w:ascii="仿宋" w:hAnsi="仿宋" w:eastAsia="仿宋" w:cs="宋体"/>
          <w:color w:val="auto"/>
          <w:sz w:val="24"/>
        </w:rPr>
        <w:t>≤50</w:t>
      </w:r>
      <w:r>
        <w:rPr>
          <w:rFonts w:ascii="仿宋" w:hAnsi="仿宋" w:eastAsia="仿宋" w:cs="宋体"/>
          <w:color w:val="auto"/>
          <w:sz w:val="24"/>
        </w:rPr>
        <w:t>%</w:t>
      </w:r>
      <w:r>
        <w:rPr>
          <w:rFonts w:hint="eastAsia" w:ascii="仿宋" w:hAnsi="仿宋" w:eastAsia="仿宋" w:cs="宋体"/>
          <w:color w:val="auto"/>
          <w:sz w:val="24"/>
        </w:rPr>
        <w:t>。</w:t>
      </w:r>
    </w:p>
    <w:p>
      <w:pPr>
        <w:spacing w:line="560" w:lineRule="exact"/>
        <w:ind w:firstLine="480" w:firstLineChars="200"/>
        <w:rPr>
          <w:rFonts w:ascii="仿宋" w:hAnsi="仿宋" w:eastAsia="仿宋" w:cs="宋体"/>
          <w:sz w:val="24"/>
        </w:rPr>
      </w:pPr>
      <w:r>
        <w:rPr>
          <w:rFonts w:hint="eastAsia" w:ascii="仿宋" w:hAnsi="仿宋" w:eastAsia="仿宋" w:cs="宋体"/>
          <w:sz w:val="24"/>
        </w:rPr>
        <w:t>（十三）如乙方不服从甲方监督、管理，出现事故、伙食质量低劣或学生意见大等情况，甲方有权视情节轻重扣除其一定的履约保证金直至解除合同。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（十四）因经营不善等原因需提前终止合同的，须提前三个月向甲方提出书面申请，经甲方批准同意后方可停止营业，甲方根据情况扣其部分直至全部履约保证金。</w:t>
      </w:r>
    </w:p>
    <w:p>
      <w:pPr>
        <w:spacing w:line="560" w:lineRule="exact"/>
        <w:ind w:firstLine="480" w:firstLineChars="200"/>
        <w:rPr>
          <w:rFonts w:ascii="仿宋" w:hAnsi="仿宋" w:eastAsia="仿宋" w:cs="宋体"/>
          <w:sz w:val="24"/>
        </w:rPr>
      </w:pPr>
      <w:r>
        <w:rPr>
          <w:rFonts w:hint="eastAsia" w:ascii="仿宋" w:hAnsi="仿宋" w:eastAsia="仿宋" w:cs="宋体"/>
          <w:sz w:val="24"/>
        </w:rPr>
        <w:t>（十五）乙方须严格服从并执行《江苏师范大学科文学院食堂、商业街等商业运营项目巡查监督管理办法（试行）》、《江苏师范大学科文学院燃气安全管理规定（试行）》、《江苏师范大学科文学院饮食服务安全生产与服务质量监控检查实施办法（试行）》等各项管理制度。学院对日常检查、联合检查和随机督查等检查中存在的问题进行相应扣分，乙方对应扣分项向甲方交纳违约金。</w:t>
      </w:r>
    </w:p>
    <w:p>
      <w:pPr>
        <w:spacing w:line="560" w:lineRule="exact"/>
        <w:ind w:firstLine="480" w:firstLineChars="200"/>
        <w:rPr>
          <w:rFonts w:ascii="仿宋" w:hAnsi="仿宋" w:eastAsia="仿宋" w:cs="宋体"/>
          <w:sz w:val="24"/>
        </w:rPr>
      </w:pPr>
      <w:r>
        <w:rPr>
          <w:rFonts w:hint="eastAsia" w:ascii="仿宋" w:hAnsi="仿宋" w:eastAsia="仿宋" w:cs="宋体"/>
          <w:sz w:val="24"/>
        </w:rPr>
        <w:t>（十六）在经营期间各种费用如遇国家、学</w:t>
      </w:r>
      <w:r>
        <w:rPr>
          <w:rFonts w:hint="eastAsia" w:ascii="仿宋" w:hAnsi="仿宋" w:eastAsia="仿宋" w:cs="宋体"/>
          <w:sz w:val="24"/>
          <w:lang w:eastAsia="zh-CN"/>
        </w:rPr>
        <w:t>院</w:t>
      </w:r>
      <w:r>
        <w:rPr>
          <w:rFonts w:hint="eastAsia" w:ascii="仿宋" w:hAnsi="仿宋" w:eastAsia="仿宋" w:cs="宋体"/>
          <w:sz w:val="24"/>
        </w:rPr>
        <w:t>政策性调整，其费用根据磋商文件和合同有关规定执行。其他要求以合同的相关条款及甲方的管理制度为准。</w:t>
      </w:r>
    </w:p>
    <w:p>
      <w:pPr>
        <w:spacing w:line="560" w:lineRule="exact"/>
        <w:ind w:firstLine="480" w:firstLineChars="200"/>
        <w:rPr>
          <w:rFonts w:ascii="仿宋" w:hAnsi="仿宋" w:eastAsia="仿宋" w:cs="宋体"/>
          <w:sz w:val="24"/>
        </w:rPr>
      </w:pPr>
      <w:r>
        <w:rPr>
          <w:rFonts w:hint="eastAsia" w:ascii="仿宋" w:hAnsi="仿宋" w:eastAsia="仿宋" w:cs="宋体"/>
          <w:sz w:val="24"/>
        </w:rPr>
        <w:t>（十七）本合同约定由乙方承担的义务和责任（包括向第三方承担的义务和责任），因某种原因甲方先行承担或垫付的，甲方有权在先行承担或垫付的范围内向乙方追偿。</w:t>
      </w:r>
    </w:p>
    <w:p>
      <w:pPr>
        <w:tabs>
          <w:tab w:val="right" w:pos="8306"/>
        </w:tabs>
        <w:spacing w:line="560" w:lineRule="exact"/>
        <w:ind w:firstLine="480" w:firstLineChars="200"/>
        <w:rPr>
          <w:rFonts w:ascii="仿宋" w:hAnsi="仿宋" w:eastAsia="仿宋" w:cs="宋体"/>
          <w:sz w:val="24"/>
        </w:rPr>
      </w:pPr>
      <w:r>
        <w:rPr>
          <w:rFonts w:hint="eastAsia" w:ascii="仿宋" w:hAnsi="仿宋" w:eastAsia="仿宋" w:cs="宋体"/>
          <w:sz w:val="24"/>
        </w:rPr>
        <w:t>（十八）合同期内，寒暑假期间根据甲方要求开展经营活动。</w:t>
      </w:r>
    </w:p>
    <w:p>
      <w:pPr>
        <w:spacing w:line="560" w:lineRule="exact"/>
        <w:ind w:firstLine="480" w:firstLineChars="200"/>
        <w:rPr>
          <w:rFonts w:ascii="黑体" w:hAnsi="黑体" w:eastAsia="黑体" w:cs="宋体"/>
          <w:sz w:val="24"/>
        </w:rPr>
      </w:pPr>
      <w:r>
        <w:rPr>
          <w:rFonts w:hint="eastAsia" w:ascii="黑体" w:hAnsi="黑体" w:eastAsia="黑体" w:cs="宋体"/>
          <w:sz w:val="24"/>
        </w:rPr>
        <w:t>六、其他</w:t>
      </w:r>
    </w:p>
    <w:p>
      <w:pPr>
        <w:spacing w:line="560" w:lineRule="exact"/>
        <w:ind w:firstLine="480" w:firstLineChars="200"/>
        <w:rPr>
          <w:rFonts w:ascii="仿宋" w:hAnsi="仿宋" w:eastAsia="仿宋" w:cs="宋体"/>
          <w:sz w:val="24"/>
        </w:rPr>
      </w:pPr>
      <w:r>
        <w:rPr>
          <w:rFonts w:hint="eastAsia" w:ascii="仿宋" w:hAnsi="仿宋" w:eastAsia="仿宋" w:cs="宋体"/>
          <w:sz w:val="24"/>
        </w:rPr>
        <w:t>（一）因学校建设需要拆除、改建房屋或另作他用时，应提前三个月通知乙方，乙方届时无条件退迁出房屋。甲方对乙方无任何赔偿和补偿。</w:t>
      </w:r>
    </w:p>
    <w:p>
      <w:pPr>
        <w:spacing w:line="560" w:lineRule="exact"/>
        <w:ind w:firstLine="480" w:firstLineChars="200"/>
        <w:rPr>
          <w:rFonts w:ascii="仿宋" w:hAnsi="仿宋" w:eastAsia="仿宋" w:cs="宋体"/>
          <w:sz w:val="24"/>
        </w:rPr>
      </w:pPr>
      <w:r>
        <w:rPr>
          <w:rFonts w:hint="eastAsia" w:ascii="仿宋" w:hAnsi="仿宋" w:eastAsia="仿宋" w:cs="宋体"/>
          <w:sz w:val="24"/>
        </w:rPr>
        <w:t>（二）磋商文件及投标文件为本合同附件，与本合同具有同等法律效力（若合同与磋商文件、投标文件有冲突，双方协商不一致时，甲方具有最终决定权）。</w:t>
      </w:r>
    </w:p>
    <w:p>
      <w:pPr>
        <w:spacing w:line="560" w:lineRule="exact"/>
        <w:ind w:firstLine="480" w:firstLineChars="200"/>
        <w:rPr>
          <w:rFonts w:ascii="仿宋" w:hAnsi="仿宋" w:eastAsia="仿宋" w:cs="宋体"/>
          <w:sz w:val="24"/>
        </w:rPr>
      </w:pPr>
      <w:r>
        <w:rPr>
          <w:rFonts w:hint="eastAsia" w:ascii="仿宋" w:hAnsi="仿宋" w:eastAsia="仿宋" w:cs="宋体"/>
          <w:sz w:val="24"/>
        </w:rPr>
        <w:t>（三）合同未尽事宜，双方协商解决，协商不成任何一方可以向甲方所在地的人民法院提起诉讼，所产生的诉讼费、律师费等一切费用均由乙方承担。</w:t>
      </w:r>
    </w:p>
    <w:p>
      <w:pPr>
        <w:spacing w:line="560" w:lineRule="exact"/>
        <w:ind w:firstLine="480" w:firstLineChars="200"/>
        <w:rPr>
          <w:rFonts w:ascii="仿宋" w:hAnsi="仿宋" w:eastAsia="仿宋" w:cs="宋体"/>
          <w:sz w:val="24"/>
        </w:rPr>
      </w:pPr>
      <w:r>
        <w:rPr>
          <w:rFonts w:hint="eastAsia" w:ascii="仿宋" w:hAnsi="仿宋" w:eastAsia="仿宋" w:cs="宋体"/>
          <w:sz w:val="24"/>
        </w:rPr>
        <w:t>（四）本合同一式四份，甲方三份，乙方一份。</w:t>
      </w:r>
    </w:p>
    <w:p>
      <w:pPr>
        <w:spacing w:line="560" w:lineRule="exact"/>
        <w:ind w:firstLine="480" w:firstLineChars="200"/>
        <w:rPr>
          <w:rFonts w:ascii="仿宋" w:hAnsi="仿宋" w:eastAsia="仿宋" w:cs="宋体"/>
          <w:sz w:val="24"/>
        </w:rPr>
      </w:pPr>
    </w:p>
    <w:p>
      <w:pPr>
        <w:spacing w:line="560" w:lineRule="exact"/>
        <w:ind w:left="420" w:leftChars="200"/>
        <w:rPr>
          <w:rFonts w:ascii="仿宋" w:hAnsi="仿宋" w:eastAsia="仿宋" w:cs="宋体"/>
          <w:sz w:val="24"/>
        </w:rPr>
      </w:pPr>
      <w:r>
        <w:rPr>
          <w:rFonts w:hint="eastAsia" w:ascii="仿宋" w:hAnsi="仿宋" w:eastAsia="仿宋" w:cs="宋体"/>
          <w:sz w:val="24"/>
        </w:rPr>
        <w:t>甲方（盖章）：</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单位地址：</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开户银行：</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银行帐号：</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代</w:t>
      </w:r>
      <w:r>
        <w:rPr>
          <w:rFonts w:ascii="仿宋" w:hAnsi="仿宋" w:eastAsia="仿宋" w:cs="宋体"/>
          <w:sz w:val="24"/>
        </w:rPr>
        <w:t xml:space="preserve"> 表 人：                          </w:t>
      </w:r>
    </w:p>
    <w:p>
      <w:pPr>
        <w:tabs>
          <w:tab w:val="left" w:pos="6453"/>
        </w:tabs>
        <w:spacing w:line="560" w:lineRule="exact"/>
        <w:ind w:firstLine="480" w:firstLineChars="200"/>
        <w:rPr>
          <w:rFonts w:ascii="仿宋" w:hAnsi="仿宋" w:eastAsia="仿宋" w:cs="宋体"/>
          <w:sz w:val="24"/>
        </w:rPr>
      </w:pPr>
      <w:r>
        <w:rPr>
          <w:rFonts w:hint="eastAsia" w:ascii="仿宋" w:hAnsi="仿宋" w:eastAsia="仿宋" w:cs="宋体"/>
          <w:sz w:val="24"/>
        </w:rPr>
        <w:t>联</w:t>
      </w:r>
      <w:r>
        <w:rPr>
          <w:rFonts w:ascii="仿宋" w:hAnsi="仿宋" w:eastAsia="仿宋" w:cs="宋体"/>
          <w:sz w:val="24"/>
        </w:rPr>
        <w:t xml:space="preserve"> 系 人：                         </w:t>
      </w:r>
      <w:r>
        <w:rPr>
          <w:rFonts w:ascii="仿宋" w:hAnsi="仿宋" w:eastAsia="仿宋" w:cs="宋体"/>
          <w:sz w:val="24"/>
        </w:rPr>
        <w:tab/>
      </w:r>
    </w:p>
    <w:p>
      <w:pPr>
        <w:spacing w:line="560" w:lineRule="exact"/>
        <w:ind w:firstLine="480" w:firstLineChars="200"/>
        <w:rPr>
          <w:rFonts w:ascii="仿宋" w:hAnsi="仿宋" w:eastAsia="仿宋" w:cs="宋体"/>
          <w:sz w:val="24"/>
        </w:rPr>
      </w:pPr>
      <w:r>
        <w:rPr>
          <w:rFonts w:hint="eastAsia" w:ascii="仿宋" w:hAnsi="仿宋" w:eastAsia="仿宋" w:cs="宋体"/>
          <w:sz w:val="24"/>
        </w:rPr>
        <w:t>联系电话：</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签字日期：</w:t>
      </w:r>
      <w:r>
        <w:rPr>
          <w:rFonts w:ascii="仿宋" w:hAnsi="仿宋" w:eastAsia="仿宋" w:cs="宋体"/>
          <w:sz w:val="24"/>
        </w:rPr>
        <w:t xml:space="preserve">      </w:t>
      </w:r>
      <w:r>
        <w:rPr>
          <w:rFonts w:hint="eastAsia" w:ascii="仿宋" w:hAnsi="仿宋" w:eastAsia="仿宋" w:cs="宋体"/>
          <w:sz w:val="24"/>
        </w:rPr>
        <w:t>年</w:t>
      </w:r>
      <w:r>
        <w:rPr>
          <w:rFonts w:ascii="仿宋" w:hAnsi="仿宋" w:eastAsia="仿宋" w:cs="宋体"/>
          <w:sz w:val="24"/>
        </w:rPr>
        <w:t xml:space="preserve">     月    </w:t>
      </w:r>
      <w:r>
        <w:rPr>
          <w:rFonts w:hint="eastAsia" w:ascii="仿宋" w:hAnsi="仿宋" w:eastAsia="仿宋" w:cs="宋体"/>
          <w:sz w:val="24"/>
        </w:rPr>
        <w:t>日</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p>
    <w:p>
      <w:pPr>
        <w:spacing w:line="560" w:lineRule="exact"/>
        <w:ind w:firstLine="480" w:firstLineChars="200"/>
        <w:rPr>
          <w:rFonts w:ascii="仿宋" w:hAnsi="仿宋" w:eastAsia="仿宋" w:cs="宋体"/>
          <w:sz w:val="24"/>
        </w:rPr>
      </w:pPr>
    </w:p>
    <w:p>
      <w:pPr>
        <w:spacing w:line="560" w:lineRule="exact"/>
        <w:ind w:firstLine="480" w:firstLineChars="200"/>
        <w:rPr>
          <w:rFonts w:ascii="仿宋" w:hAnsi="仿宋" w:eastAsia="仿宋" w:cs="宋体"/>
          <w:sz w:val="24"/>
        </w:rPr>
      </w:pPr>
      <w:r>
        <w:rPr>
          <w:rFonts w:hint="eastAsia" w:ascii="仿宋" w:hAnsi="仿宋" w:eastAsia="仿宋" w:cs="宋体"/>
          <w:sz w:val="24"/>
        </w:rPr>
        <w:t>乙方（盖章）：</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单位地址：</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开户银行：</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银行帐号：</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代</w:t>
      </w:r>
      <w:r>
        <w:rPr>
          <w:rFonts w:ascii="仿宋" w:hAnsi="仿宋" w:eastAsia="仿宋" w:cs="宋体"/>
          <w:sz w:val="24"/>
        </w:rPr>
        <w:t xml:space="preserve"> 表 人：                          </w:t>
      </w:r>
    </w:p>
    <w:p>
      <w:pPr>
        <w:tabs>
          <w:tab w:val="left" w:pos="6453"/>
        </w:tabs>
        <w:spacing w:line="560" w:lineRule="exact"/>
        <w:ind w:firstLine="480" w:firstLineChars="200"/>
        <w:rPr>
          <w:rFonts w:ascii="仿宋" w:hAnsi="仿宋" w:eastAsia="仿宋" w:cs="宋体"/>
          <w:sz w:val="24"/>
        </w:rPr>
      </w:pPr>
      <w:r>
        <w:rPr>
          <w:rFonts w:hint="eastAsia" w:ascii="仿宋" w:hAnsi="仿宋" w:eastAsia="仿宋" w:cs="宋体"/>
          <w:sz w:val="24"/>
        </w:rPr>
        <w:t>联</w:t>
      </w:r>
      <w:r>
        <w:rPr>
          <w:rFonts w:ascii="仿宋" w:hAnsi="仿宋" w:eastAsia="仿宋" w:cs="宋体"/>
          <w:sz w:val="24"/>
        </w:rPr>
        <w:t xml:space="preserve"> 系 人：                         </w:t>
      </w:r>
      <w:r>
        <w:rPr>
          <w:rFonts w:ascii="仿宋" w:hAnsi="仿宋" w:eastAsia="仿宋" w:cs="宋体"/>
          <w:sz w:val="24"/>
        </w:rPr>
        <w:tab/>
      </w:r>
    </w:p>
    <w:p>
      <w:pPr>
        <w:spacing w:line="560" w:lineRule="exact"/>
        <w:ind w:firstLine="480" w:firstLineChars="200"/>
        <w:rPr>
          <w:rFonts w:ascii="仿宋" w:hAnsi="仿宋" w:eastAsia="仿宋" w:cs="宋体"/>
          <w:sz w:val="24"/>
        </w:rPr>
      </w:pPr>
      <w:r>
        <w:rPr>
          <w:rFonts w:hint="eastAsia" w:ascii="仿宋" w:hAnsi="仿宋" w:eastAsia="仿宋" w:cs="宋体"/>
          <w:sz w:val="24"/>
        </w:rPr>
        <w:t>联系电话：</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签字日期：</w:t>
      </w:r>
      <w:r>
        <w:rPr>
          <w:rFonts w:ascii="仿宋" w:hAnsi="仿宋" w:eastAsia="仿宋" w:cs="宋体"/>
          <w:sz w:val="24"/>
        </w:rPr>
        <w:t xml:space="preserve">       </w:t>
      </w:r>
      <w:r>
        <w:rPr>
          <w:rFonts w:hint="eastAsia" w:ascii="仿宋" w:hAnsi="仿宋" w:eastAsia="仿宋" w:cs="宋体"/>
          <w:sz w:val="24"/>
        </w:rPr>
        <w:t>年</w:t>
      </w:r>
      <w:r>
        <w:rPr>
          <w:rFonts w:ascii="仿宋" w:hAnsi="仿宋" w:eastAsia="仿宋" w:cs="宋体"/>
          <w:sz w:val="24"/>
        </w:rPr>
        <w:t xml:space="preserve">     月    </w:t>
      </w:r>
      <w:r>
        <w:rPr>
          <w:rFonts w:hint="eastAsia" w:ascii="仿宋" w:hAnsi="仿宋" w:eastAsia="仿宋" w:cs="宋体"/>
          <w:sz w:val="24"/>
        </w:rPr>
        <w:t>日</w:t>
      </w:r>
      <w:r>
        <w:rPr>
          <w:rFonts w:ascii="仿宋" w:hAnsi="仿宋" w:eastAsia="仿宋" w:cs="宋体"/>
          <w:sz w:val="24"/>
        </w:rPr>
        <w:t xml:space="preserve">             </w:t>
      </w:r>
    </w:p>
    <w:p>
      <w:pPr>
        <w:spacing w:line="400" w:lineRule="exact"/>
        <w:rPr>
          <w:rFonts w:ascii="宋体" w:hAnsi="宋体" w:cs="宋体"/>
          <w:sz w:val="24"/>
        </w:rPr>
      </w:pPr>
    </w:p>
    <w:p>
      <w:pPr>
        <w:pStyle w:val="2"/>
        <w:rPr>
          <w:rFonts w:ascii="宋体" w:hAnsi="宋体"/>
          <w:kern w:val="0"/>
          <w:sz w:val="24"/>
        </w:rPr>
        <w:sectPr>
          <w:pgSz w:w="11906" w:h="16838"/>
          <w:pgMar w:top="1383" w:right="1080" w:bottom="986" w:left="1080" w:header="851" w:footer="709" w:gutter="0"/>
          <w:cols w:space="720" w:num="1"/>
          <w:docGrid w:linePitch="312" w:charSpace="0"/>
        </w:sectPr>
      </w:pPr>
    </w:p>
    <w:p>
      <w:pPr>
        <w:numPr>
          <w:ilvl w:val="0"/>
          <w:numId w:val="4"/>
        </w:numPr>
        <w:spacing w:line="400" w:lineRule="exact"/>
        <w:jc w:val="center"/>
        <w:rPr>
          <w:b/>
          <w:bCs/>
          <w:sz w:val="32"/>
          <w:szCs w:val="32"/>
        </w:rPr>
      </w:pPr>
      <w:r>
        <w:rPr>
          <w:rFonts w:hint="eastAsia"/>
          <w:b/>
          <w:bCs/>
          <w:sz w:val="32"/>
          <w:szCs w:val="32"/>
        </w:rPr>
        <w:t xml:space="preserve">   投标文件格式</w:t>
      </w:r>
    </w:p>
    <w:p>
      <w:pPr>
        <w:pStyle w:val="2"/>
      </w:pP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8"/>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8"/>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8"/>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8"/>
        <w:numPr>
          <w:ilvl w:val="0"/>
          <w:numId w:val="0"/>
        </w:numPr>
        <w:rPr>
          <w:b/>
          <w:sz w:val="24"/>
          <w:szCs w:val="24"/>
        </w:rPr>
      </w:pPr>
      <w:r>
        <w:rPr>
          <w:rFonts w:hint="eastAsia"/>
          <w:b/>
          <w:sz w:val="24"/>
          <w:szCs w:val="24"/>
        </w:rPr>
        <w:br w:type="page"/>
      </w:r>
      <w:r>
        <w:rPr>
          <w:rFonts w:hint="eastAsia"/>
          <w:b/>
          <w:sz w:val="24"/>
          <w:szCs w:val="24"/>
        </w:rPr>
        <w:t>(一)投标函</w:t>
      </w:r>
    </w:p>
    <w:p>
      <w:pPr>
        <w:pStyle w:val="21"/>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8"/>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8"/>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8"/>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8"/>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8"/>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8"/>
        <w:numPr>
          <w:ilvl w:val="0"/>
          <w:numId w:val="0"/>
        </w:numPr>
        <w:ind w:left="2" w:leftChars="1" w:firstLine="480" w:firstLineChars="200"/>
        <w:rPr>
          <w:sz w:val="24"/>
          <w:szCs w:val="24"/>
        </w:rPr>
      </w:pPr>
      <w:r>
        <w:rPr>
          <w:rFonts w:hint="eastAsia"/>
          <w:sz w:val="24"/>
          <w:szCs w:val="24"/>
        </w:rPr>
        <w:t>6.保证遵守招标文件的各项规定。</w:t>
      </w:r>
    </w:p>
    <w:p>
      <w:pPr>
        <w:pStyle w:val="18"/>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8"/>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8"/>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8"/>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8"/>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8"/>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numPr>
          <w:ilvl w:val="0"/>
          <w:numId w:val="5"/>
        </w:numPr>
        <w:ind w:left="0" w:firstLine="480" w:firstLineChars="200"/>
        <w:rPr>
          <w:rFonts w:ascii="宋体" w:hAnsi="宋体"/>
          <w:sz w:val="24"/>
        </w:rPr>
      </w:pPr>
      <w:r>
        <w:rPr>
          <w:rFonts w:hint="eastAsia" w:ascii="宋体" w:hAnsi="宋体"/>
          <w:sz w:val="24"/>
        </w:rPr>
        <w:t>提供虚假材料谋取成交的；</w:t>
      </w:r>
    </w:p>
    <w:p>
      <w:pPr>
        <w:numPr>
          <w:ilvl w:val="0"/>
          <w:numId w:val="5"/>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5"/>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5"/>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5"/>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5"/>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5"/>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0642290"/>
      <w:bookmarkStart w:id="2" w:name="_Toc36287943"/>
      <w:bookmarkStart w:id="3" w:name="_Toc20988289"/>
      <w:bookmarkStart w:id="4" w:name="_Toc21001363"/>
      <w:bookmarkStart w:id="5" w:name="_Toc21000519"/>
      <w:bookmarkStart w:id="6" w:name="_Toc20816120"/>
    </w:p>
    <w:p>
      <w:pPr>
        <w:jc w:val="left"/>
        <w:rPr>
          <w:rFonts w:ascii="宋体" w:hAnsi="宋体"/>
          <w:b/>
          <w:bCs/>
          <w:kern w:val="0"/>
          <w:sz w:val="24"/>
        </w:rPr>
      </w:pPr>
      <w:r>
        <w:rPr>
          <w:rFonts w:hint="eastAsia" w:ascii="宋体" w:hAnsi="宋体"/>
          <w:b/>
          <w:bCs/>
          <w:kern w:val="0"/>
          <w:sz w:val="24"/>
        </w:rPr>
        <w:br w:type="page"/>
      </w:r>
    </w:p>
    <w:p>
      <w:pPr>
        <w:jc w:val="left"/>
        <w:rPr>
          <w:rFonts w:ascii="宋体" w:hAnsi="宋体"/>
          <w:b/>
          <w:bCs/>
          <w:kern w:val="0"/>
          <w:sz w:val="24"/>
        </w:rPr>
      </w:pPr>
      <w:r>
        <w:rPr>
          <w:rFonts w:hint="eastAsia" w:ascii="宋体" w:hAnsi="宋体"/>
          <w:b/>
          <w:bCs/>
          <w:kern w:val="0"/>
          <w:sz w:val="24"/>
        </w:rPr>
        <w:t>(二)法定代表人授权委托书</w:t>
      </w:r>
      <w:bookmarkEnd w:id="1"/>
      <w:bookmarkEnd w:id="2"/>
      <w:bookmarkEnd w:id="3"/>
      <w:bookmarkEnd w:id="4"/>
      <w:bookmarkEnd w:id="5"/>
      <w:bookmarkEnd w:id="6"/>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60288;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1312;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7" w:name="_Toc86202638"/>
      <w:r>
        <w:rPr>
          <w:rFonts w:hint="eastAsia" w:ascii="宋体" w:hAnsi="宋体"/>
          <w:b/>
          <w:sz w:val="24"/>
        </w:rPr>
        <w:t>（三）承诺书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（四）无重大违法记录的书面声明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szCs w:val="24"/>
        </w:rPr>
        <w:t>（五）</w:t>
      </w:r>
      <w:r>
        <w:rPr>
          <w:rFonts w:hint="eastAsia" w:ascii="宋体" w:hAnsi="宋体"/>
          <w:b/>
          <w:bCs/>
          <w:kern w:val="0"/>
          <w:sz w:val="24"/>
          <w:szCs w:val="24"/>
        </w:rPr>
        <w:t>商务与技术条款偏离表</w:t>
      </w:r>
    </w:p>
    <w:tbl>
      <w:tblPr>
        <w:tblStyle w:val="14"/>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3"/>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3"/>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bookmarkEnd w:id="7"/>
    <w:p>
      <w:pPr>
        <w:rPr>
          <w:b/>
          <w:sz w:val="28"/>
          <w:szCs w:val="28"/>
        </w:rPr>
      </w:pPr>
      <w:bookmarkStart w:id="8" w:name="_Toc310966108"/>
      <w:bookmarkStart w:id="9" w:name="_Toc310965989"/>
      <w:bookmarkStart w:id="10" w:name="_Toc86202650"/>
    </w:p>
    <w:p>
      <w:pPr>
        <w:rPr>
          <w:rFonts w:hint="eastAsia" w:ascii="宋体" w:hAnsi="宋体"/>
          <w:b/>
          <w:sz w:val="24"/>
          <w:szCs w:val="24"/>
        </w:rPr>
      </w:pPr>
      <w:r>
        <w:rPr>
          <w:rFonts w:hint="eastAsia" w:ascii="宋体" w:hAnsi="宋体"/>
          <w:b/>
          <w:sz w:val="24"/>
          <w:szCs w:val="24"/>
        </w:rPr>
        <w:t>（六）投标人近三年来完成项目业绩基本情况表</w:t>
      </w:r>
      <w:bookmarkEnd w:id="8"/>
      <w:bookmarkEnd w:id="9"/>
    </w:p>
    <w:tbl>
      <w:tblPr>
        <w:tblStyle w:val="14"/>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3189"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单位名称</w:t>
            </w:r>
          </w:p>
        </w:tc>
        <w:tc>
          <w:tcPr>
            <w:tcW w:w="2115"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联系人及联系方式</w:t>
            </w:r>
          </w:p>
        </w:tc>
        <w:tc>
          <w:tcPr>
            <w:tcW w:w="1917"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合同总价</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项目起止时间</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189" w:type="dxa"/>
            <w:vAlign w:val="center"/>
          </w:tcPr>
          <w:p>
            <w:pPr>
              <w:spacing w:line="400" w:lineRule="exact"/>
              <w:jc w:val="center"/>
              <w:rPr>
                <w:rFonts w:ascii="宋体" w:hAnsi="宋体"/>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bl>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注：投标时需提供合同原件备查。                                                </w:t>
      </w:r>
    </w:p>
    <w:p>
      <w:pPr>
        <w:spacing w:line="360" w:lineRule="auto"/>
        <w:ind w:firstLine="420" w:firstLineChars="200"/>
        <w:rPr>
          <w:rFonts w:ascii="宋体" w:hAnsi="宋体"/>
          <w:szCs w:val="21"/>
        </w:rPr>
      </w:pPr>
      <w:r>
        <w:rPr>
          <w:rFonts w:hint="eastAsia"/>
          <w:color w:val="000000" w:themeColor="text1"/>
          <w14:textFill>
            <w14:solidFill>
              <w14:schemeClr w14:val="tx1"/>
            </w14:solidFill>
          </w14:textFill>
        </w:rPr>
        <w:t xml:space="preserve">                                                         </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pPr>
    </w:p>
    <w:p>
      <w:pPr>
        <w:rPr>
          <w:rFonts w:hint="eastAsia" w:ascii="宋体" w:hAnsi="宋体"/>
          <w:b/>
          <w:sz w:val="24"/>
          <w:szCs w:val="24"/>
        </w:rPr>
      </w:pPr>
      <w:r>
        <w:rPr>
          <w:rFonts w:hint="eastAsia" w:ascii="宋体" w:hAnsi="宋体"/>
          <w:b/>
          <w:sz w:val="24"/>
          <w:szCs w:val="24"/>
        </w:rPr>
        <w:t>（七）本项目的经营保障服务方案</w:t>
      </w:r>
    </w:p>
    <w:p>
      <w:pPr>
        <w:spacing w:line="400" w:lineRule="exact"/>
        <w:ind w:firstLine="560" w:firstLineChars="200"/>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包含总体经营目标、思路，具体经营方案，合理化投资方案，管理措施、制度，到校经营团队组织构成和人员素质，相关承诺与应急预案等。</w:t>
      </w:r>
      <w:r>
        <w:rPr>
          <w:rFonts w:hint="eastAsia"/>
          <w:bCs/>
          <w:color w:val="000000" w:themeColor="text1"/>
          <w:sz w:val="28"/>
          <w14:textFill>
            <w14:solidFill>
              <w14:schemeClr w14:val="tx1"/>
            </w14:solidFill>
          </w14:textFill>
        </w:rPr>
        <w:t>）</w:t>
      </w:r>
    </w:p>
    <w:p>
      <w:pPr>
        <w:tabs>
          <w:tab w:val="left" w:pos="2685"/>
        </w:tabs>
        <w:spacing w:line="400" w:lineRule="exact"/>
        <w:ind w:firstLine="138" w:firstLineChars="49"/>
        <w:jc w:val="center"/>
        <w:rPr>
          <w:b/>
          <w:color w:val="000000" w:themeColor="text1"/>
          <w:sz w:val="28"/>
          <w14:textFill>
            <w14:solidFill>
              <w14:schemeClr w14:val="tx1"/>
            </w14:solidFill>
          </w14:textFill>
        </w:rPr>
      </w:pPr>
    </w:p>
    <w:p>
      <w:pPr>
        <w:rPr>
          <w:rFonts w:hint="eastAsia" w:ascii="宋体" w:hAnsi="宋体"/>
          <w:b/>
          <w:sz w:val="24"/>
          <w:szCs w:val="24"/>
        </w:rPr>
      </w:pPr>
      <w:r>
        <w:rPr>
          <w:rFonts w:hint="eastAsia" w:ascii="宋体" w:hAnsi="宋体"/>
          <w:b/>
          <w:sz w:val="24"/>
          <w:szCs w:val="24"/>
        </w:rPr>
        <w:t>（八）装饰装修方案</w:t>
      </w:r>
    </w:p>
    <w:p>
      <w:pPr>
        <w:spacing w:line="40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（包括装饰装修设计方案、设计说明、功能性描述、主辅材清单、施工工艺说明，设计图和效果图、</w:t>
      </w:r>
      <w:r>
        <w:rPr>
          <w:rFonts w:hint="eastAsia"/>
          <w:bCs/>
          <w:color w:val="000000" w:themeColor="text1"/>
          <w:sz w:val="24"/>
          <w14:textFill>
            <w14:solidFill>
              <w14:schemeClr w14:val="tx1"/>
            </w14:solidFill>
          </w14:textFill>
        </w:rPr>
        <w:t>装修费用预算表</w:t>
      </w:r>
      <w:r>
        <w:rPr>
          <w:rFonts w:hint="eastAsia" w:ascii="宋体" w:hAnsi="宋体" w:cs="宋体"/>
          <w:color w:val="000000" w:themeColor="text1"/>
          <w:sz w:val="24"/>
          <w14:textFill>
            <w14:solidFill>
              <w14:schemeClr w14:val="tx1"/>
            </w14:solidFill>
          </w14:textFill>
        </w:rPr>
        <w:t>等。）</w:t>
      </w:r>
    </w:p>
    <w:p>
      <w:pPr>
        <w:pStyle w:val="2"/>
        <w:rPr>
          <w:rFonts w:hint="eastAsia" w:ascii="宋体" w:hAnsi="宋体" w:eastAsia="宋体" w:cs="Times New Roman"/>
          <w:b/>
          <w:bCs w:val="0"/>
          <w:kern w:val="2"/>
          <w:sz w:val="24"/>
          <w:szCs w:val="24"/>
          <w:lang w:val="en-US" w:eastAsia="zh-CN" w:bidi="ar-SA"/>
        </w:rPr>
      </w:pPr>
    </w:p>
    <w:p>
      <w:pPr>
        <w:tabs>
          <w:tab w:val="left" w:pos="2685"/>
        </w:tabs>
        <w:spacing w:line="400" w:lineRule="exact"/>
        <w:ind w:firstLine="118" w:firstLineChars="49"/>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（九）设施设备配套方案</w:t>
      </w:r>
    </w:p>
    <w:p>
      <w:pPr>
        <w:pStyle w:val="18"/>
        <w:numPr>
          <w:ilvl w:val="0"/>
          <w:numId w:val="0"/>
        </w:numPr>
        <w:adjustRightInd/>
        <w:ind w:firstLine="480" w:firstLineChars="200"/>
        <w:jc w:val="left"/>
        <w:rPr>
          <w:kern w:val="2"/>
          <w:sz w:val="24"/>
          <w:szCs w:val="24"/>
        </w:rPr>
      </w:pPr>
      <w:r>
        <w:rPr>
          <w:rFonts w:hint="eastAsia"/>
          <w:kern w:val="2"/>
          <w:sz w:val="24"/>
          <w:szCs w:val="24"/>
        </w:rPr>
        <w:t>（包括设施设备清单、材质、规格型号、数量、金额、能耗功率、使用年限、安装要求、入场水电要求、技术参数、外观等；）</w:t>
      </w:r>
    </w:p>
    <w:p>
      <w:pPr>
        <w:pStyle w:val="18"/>
        <w:numPr>
          <w:ilvl w:val="0"/>
          <w:numId w:val="0"/>
        </w:numPr>
        <w:adjustRightInd/>
        <w:ind w:firstLine="480" w:firstLineChars="200"/>
        <w:jc w:val="left"/>
        <w:rPr>
          <w:kern w:val="2"/>
          <w:sz w:val="24"/>
          <w:szCs w:val="24"/>
        </w:rPr>
      </w:pPr>
    </w:p>
    <w:tbl>
      <w:tblPr>
        <w:tblStyle w:val="14"/>
        <w:tblW w:w="9867" w:type="dxa"/>
        <w:tblInd w:w="93" w:type="dxa"/>
        <w:tblLayout w:type="autofit"/>
        <w:tblCellMar>
          <w:top w:w="0" w:type="dxa"/>
          <w:left w:w="108" w:type="dxa"/>
          <w:bottom w:w="0" w:type="dxa"/>
          <w:right w:w="108" w:type="dxa"/>
        </w:tblCellMar>
      </w:tblPr>
      <w:tblGrid>
        <w:gridCol w:w="486"/>
        <w:gridCol w:w="1500"/>
        <w:gridCol w:w="1185"/>
        <w:gridCol w:w="1905"/>
        <w:gridCol w:w="1050"/>
        <w:gridCol w:w="900"/>
        <w:gridCol w:w="900"/>
        <w:gridCol w:w="1229"/>
        <w:gridCol w:w="712"/>
      </w:tblGrid>
      <w:tr>
        <w:tblPrEx>
          <w:tblCellMar>
            <w:top w:w="0" w:type="dxa"/>
            <w:left w:w="108" w:type="dxa"/>
            <w:bottom w:w="0" w:type="dxa"/>
            <w:right w:w="108" w:type="dxa"/>
          </w:tblCellMar>
        </w:tblPrEx>
        <w:trPr>
          <w:trHeight w:val="405" w:hRule="atLeast"/>
        </w:trPr>
        <w:tc>
          <w:tcPr>
            <w:tcW w:w="9867" w:type="dxa"/>
            <w:gridSpan w:val="9"/>
            <w:tcBorders>
              <w:top w:val="nil"/>
              <w:left w:val="nil"/>
              <w:bottom w:val="single" w:color="auto" w:sz="4" w:space="0"/>
              <w:right w:val="nil"/>
            </w:tcBorders>
            <w:shd w:val="clear" w:color="auto" w:fill="auto"/>
            <w:vAlign w:val="center"/>
          </w:tcPr>
          <w:p>
            <w:pPr>
              <w:widowControl/>
              <w:jc w:val="center"/>
              <w:textAlignment w:val="center"/>
              <w:rPr>
                <w:rFonts w:ascii="宋体" w:hAnsi="宋体" w:cs="宋体"/>
                <w:color w:val="000000"/>
                <w:sz w:val="32"/>
                <w:szCs w:val="32"/>
              </w:rPr>
            </w:pPr>
            <w:r>
              <w:rPr>
                <w:rFonts w:hint="eastAsia" w:ascii="宋体" w:hAnsi="宋体" w:cs="宋体"/>
                <w:color w:val="000000"/>
                <w:kern w:val="0"/>
                <w:sz w:val="32"/>
                <w:szCs w:val="32"/>
                <w:lang w:bidi="ar"/>
              </w:rPr>
              <w:t>设施设备清单（样表）</w:t>
            </w:r>
          </w:p>
        </w:tc>
      </w:tr>
      <w:tr>
        <w:tblPrEx>
          <w:tblCellMar>
            <w:top w:w="0" w:type="dxa"/>
            <w:left w:w="108" w:type="dxa"/>
            <w:bottom w:w="0" w:type="dxa"/>
            <w:right w:w="108" w:type="dxa"/>
          </w:tblCellMar>
        </w:tblPrEx>
        <w:trPr>
          <w:trHeight w:val="288" w:hRule="atLeast"/>
        </w:trPr>
        <w:tc>
          <w:tcPr>
            <w:tcW w:w="98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Cs w:val="21"/>
                <w:lang w:bidi="ar"/>
              </w:rPr>
              <w:t>项目名称：                            项目编号：</w:t>
            </w:r>
          </w:p>
        </w:tc>
      </w:tr>
      <w:tr>
        <w:tblPrEx>
          <w:tblCellMar>
            <w:top w:w="0" w:type="dxa"/>
            <w:left w:w="108" w:type="dxa"/>
            <w:bottom w:w="0" w:type="dxa"/>
            <w:right w:w="108" w:type="dxa"/>
          </w:tblCellMar>
        </w:tblPrEx>
        <w:trPr>
          <w:trHeight w:val="450" w:hRule="atLeast"/>
        </w:trPr>
        <w:tc>
          <w:tcPr>
            <w:tcW w:w="4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设备名称</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类别</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规格型号</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位号/所在部位</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是否特种设备</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数量</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设备价值（元）</w:t>
            </w:r>
          </w:p>
        </w:tc>
        <w:tc>
          <w:tcPr>
            <w:tcW w:w="71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备注</w:t>
            </w: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80"/>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r>
        <w:tblPrEx>
          <w:tblCellMar>
            <w:top w:w="0" w:type="dxa"/>
            <w:left w:w="108" w:type="dxa"/>
            <w:bottom w:w="0" w:type="dxa"/>
            <w:right w:w="108" w:type="dxa"/>
          </w:tblCellMar>
        </w:tblPrEx>
        <w:trPr>
          <w:trHeight w:val="6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8"/>
        <w:numPr>
          <w:ilvl w:val="0"/>
          <w:numId w:val="0"/>
        </w:numPr>
        <w:adjustRightInd/>
        <w:ind w:firstLine="480" w:firstLineChars="200"/>
        <w:jc w:val="left"/>
        <w:rPr>
          <w:kern w:val="2"/>
          <w:sz w:val="24"/>
          <w:szCs w:val="24"/>
        </w:rPr>
        <w:sectPr>
          <w:pgSz w:w="11906" w:h="16838"/>
          <w:pgMar w:top="1383" w:right="1080" w:bottom="986" w:left="1080" w:header="851" w:footer="709" w:gutter="0"/>
          <w:cols w:space="720" w:num="1"/>
          <w:docGrid w:linePitch="312" w:charSpace="0"/>
        </w:sectPr>
      </w:pPr>
    </w:p>
    <w:p>
      <w:pPr>
        <w:pStyle w:val="13"/>
        <w:spacing w:after="0"/>
        <w:ind w:firstLine="0" w:firstLineChars="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（十）资格审查符合性审查材料索引表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w:t>
            </w:r>
            <w:r>
              <w:rPr>
                <w:rFonts w:hint="eastAsia" w:ascii="宋体" w:hAnsi="宋体" w:cs="楷体"/>
                <w:bCs/>
                <w:color w:val="000000" w:themeColor="text1"/>
                <w:sz w:val="24"/>
                <w14:textFill>
                  <w14:solidFill>
                    <w14:schemeClr w14:val="tx1"/>
                  </w14:solidFill>
                </w14:textFill>
              </w:rPr>
              <w:t>餐饮许可证或食品经营许可证复印件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企业、项目负责人相关证书复印件</w:t>
            </w:r>
          </w:p>
        </w:tc>
        <w:tc>
          <w:tcPr>
            <w:tcW w:w="2127" w:type="dxa"/>
            <w:vAlign w:val="center"/>
          </w:tcPr>
          <w:p>
            <w:pPr>
              <w:ind w:firstLine="480" w:firstLineChars="200"/>
              <w:rPr>
                <w:rFonts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10</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11</w:t>
            </w:r>
          </w:p>
        </w:tc>
        <w:tc>
          <w:tcPr>
            <w:tcW w:w="4770" w:type="dxa"/>
            <w:vAlign w:val="center"/>
          </w:tcPr>
          <w:p>
            <w:pPr>
              <w:jc w:val="center"/>
              <w:rPr>
                <w:rFonts w:ascii="宋体" w:hAnsi="宋体" w:cs="楷体"/>
                <w:bCs/>
                <w:sz w:val="24"/>
              </w:rPr>
            </w:pP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3"/>
        <w:spacing w:after="0"/>
        <w:ind w:firstLine="0" w:firstLineChars="0"/>
        <w:rPr>
          <w:rFonts w:ascii="宋体" w:hAnsi="宋体" w:eastAsia="宋体"/>
          <w:sz w:val="24"/>
          <w:szCs w:val="24"/>
        </w:rPr>
      </w:pPr>
    </w:p>
    <w:p>
      <w:pPr>
        <w:pStyle w:val="22"/>
        <w:spacing w:after="0"/>
        <w:ind w:firstLine="0" w:firstLineChars="0"/>
        <w:rPr>
          <w:rFonts w:ascii="宋体" w:hAnsi="宋体" w:eastAsia="宋体"/>
          <w:sz w:val="24"/>
          <w:szCs w:val="24"/>
        </w:rPr>
      </w:pPr>
      <w:r>
        <w:rPr>
          <w:rFonts w:hint="eastAsia" w:ascii="宋体" w:hAnsi="宋体" w:eastAsia="宋体"/>
          <w:sz w:val="24"/>
          <w:szCs w:val="24"/>
        </w:rPr>
        <w:t>注：</w:t>
      </w:r>
    </w:p>
    <w:p>
      <w:pPr>
        <w:pStyle w:val="22"/>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2"/>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rPr>
          <w:rFonts w:ascii="宋体" w:hAnsi="宋体"/>
          <w:sz w:val="24"/>
        </w:rPr>
        <w:sectPr>
          <w:pgSz w:w="11906" w:h="16838"/>
          <w:pgMar w:top="1383" w:right="1080" w:bottom="986" w:left="1080" w:header="851" w:footer="709" w:gutter="0"/>
          <w:cols w:space="720" w:num="1"/>
          <w:docGrid w:linePitch="312" w:charSpace="0"/>
        </w:sectPr>
      </w:pPr>
    </w:p>
    <w:p>
      <w:pPr>
        <w:rPr>
          <w:rFonts w:ascii="宋体" w:hAnsi="宋体"/>
          <w:sz w:val="24"/>
        </w:rPr>
      </w:pPr>
      <w:r>
        <w:rPr>
          <w:rFonts w:hint="eastAsia" w:ascii="宋体" w:hAnsi="宋体"/>
          <w:b/>
          <w:bCs/>
          <w:sz w:val="32"/>
          <w:szCs w:val="32"/>
        </w:rPr>
        <w:t>评分办法</w:t>
      </w:r>
      <w:bookmarkEnd w:id="10"/>
    </w:p>
    <w:p>
      <w:pPr>
        <w:pStyle w:val="13"/>
        <w:spacing w:after="0"/>
        <w:ind w:firstLine="0" w:firstLineChars="0"/>
        <w:rPr>
          <w:rFonts w:ascii="宋体" w:hAnsi="宋体"/>
          <w:b/>
          <w:sz w:val="28"/>
          <w:szCs w:val="28"/>
        </w:rPr>
      </w:pPr>
    </w:p>
    <w:tbl>
      <w:tblPr>
        <w:tblStyle w:val="14"/>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620"/>
        <w:gridCol w:w="5378"/>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22" w:type="dxa"/>
            <w:gridSpan w:val="2"/>
            <w:vAlign w:val="center"/>
          </w:tcPr>
          <w:p>
            <w:pPr>
              <w:snapToGrid w:val="0"/>
              <w:jc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评分项</w:t>
            </w:r>
          </w:p>
        </w:tc>
        <w:tc>
          <w:tcPr>
            <w:tcW w:w="5378" w:type="dxa"/>
            <w:vAlign w:val="center"/>
          </w:tcPr>
          <w:p>
            <w:pPr>
              <w:snapToGrid w:val="0"/>
              <w:jc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评分标准</w:t>
            </w:r>
          </w:p>
        </w:tc>
        <w:tc>
          <w:tcPr>
            <w:tcW w:w="696" w:type="dxa"/>
            <w:vAlign w:val="center"/>
          </w:tcPr>
          <w:p>
            <w:pPr>
              <w:snapToGrid w:val="0"/>
              <w:jc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restart"/>
            <w:vAlign w:val="center"/>
          </w:tcPr>
          <w:p>
            <w:pPr>
              <w:snapToGrid w:val="0"/>
              <w:jc w:val="left"/>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企业综合实力（</w:t>
            </w:r>
            <w:r>
              <w:rPr>
                <w:rFonts w:hAnsi="宋体"/>
                <w:color w:val="000000" w:themeColor="text1"/>
                <w:szCs w:val="21"/>
                <w14:textFill>
                  <w14:solidFill>
                    <w14:schemeClr w14:val="tx1"/>
                  </w14:solidFill>
                </w14:textFill>
              </w:rPr>
              <w:t>22</w:t>
            </w:r>
            <w:r>
              <w:rPr>
                <w:rFonts w:hint="eastAsia" w:hAnsi="宋体"/>
                <w:color w:val="000000" w:themeColor="text1"/>
                <w:szCs w:val="21"/>
                <w14:textFill>
                  <w14:solidFill>
                    <w14:schemeClr w14:val="tx1"/>
                  </w14:solidFill>
                </w14:textFill>
              </w:rPr>
              <w:t>分）</w:t>
            </w:r>
          </w:p>
          <w:p>
            <w:pPr>
              <w:snapToGrid w:val="0"/>
              <w:jc w:val="left"/>
              <w:rPr>
                <w:color w:val="000000" w:themeColor="text1"/>
                <w:szCs w:val="21"/>
                <w14:textFill>
                  <w14:solidFill>
                    <w14:schemeClr w14:val="tx1"/>
                  </w14:solidFill>
                </w14:textFill>
              </w:rPr>
            </w:pPr>
          </w:p>
        </w:tc>
        <w:tc>
          <w:tcPr>
            <w:tcW w:w="1620" w:type="dxa"/>
            <w:vAlign w:val="center"/>
          </w:tcPr>
          <w:p>
            <w:pPr>
              <w:snapToGrid w:val="0"/>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企业资质</w:t>
            </w:r>
          </w:p>
        </w:tc>
        <w:tc>
          <w:tcPr>
            <w:tcW w:w="5378"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具有GB/T 19001质量管理体系，得1分，没有得0分</w:t>
            </w:r>
          </w:p>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具有GB/T 45001 职业健康安全体系，得1分，没有得0分</w:t>
            </w:r>
          </w:p>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具有GB/T 24001环境管理体系，得1分，没有得0分</w:t>
            </w:r>
          </w:p>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具有HACCP食品管理体系认证或具有GB/T 22000食品安全管理体系认证，得1分，没有得0分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2" w:type="dxa"/>
            <w:vMerge w:val="continue"/>
            <w:vAlign w:val="center"/>
          </w:tcPr>
          <w:p>
            <w:pPr>
              <w:snapToGrid w:val="0"/>
              <w:jc w:val="left"/>
              <w:rPr>
                <w:color w:val="000000" w:themeColor="text1"/>
                <w:szCs w:val="21"/>
                <w14:textFill>
                  <w14:solidFill>
                    <w14:schemeClr w14:val="tx1"/>
                  </w14:solidFill>
                </w14:textFill>
              </w:rPr>
            </w:pPr>
          </w:p>
        </w:tc>
        <w:tc>
          <w:tcPr>
            <w:tcW w:w="1620" w:type="dxa"/>
            <w:vMerge w:val="restart"/>
            <w:vAlign w:val="center"/>
          </w:tcPr>
          <w:p>
            <w:pPr>
              <w:snapToGrid w:val="0"/>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企业业绩</w:t>
            </w:r>
          </w:p>
        </w:tc>
        <w:tc>
          <w:tcPr>
            <w:tcW w:w="5378" w:type="dxa"/>
            <w:shd w:val="clear" w:color="auto" w:fill="auto"/>
            <w:vAlign w:val="center"/>
          </w:tcPr>
          <w:p>
            <w:pPr>
              <w:keepNext w:val="0"/>
              <w:keepLines w:val="0"/>
              <w:pageBreakBefore w:val="0"/>
              <w:shd w:val="clear"/>
              <w:kinsoku/>
              <w:wordWrap/>
              <w:overflowPunct/>
              <w:topLinePunct w:val="0"/>
              <w:autoSpaceDE/>
              <w:autoSpaceDN/>
              <w:bidi w:val="0"/>
              <w:adjustRightInd/>
              <w:spacing w:line="240" w:lineRule="exact"/>
              <w:textAlignment w:val="auto"/>
              <w:rPr>
                <w:rFonts w:hAnsi="宋体"/>
                <w:color w:val="000000" w:themeColor="text1"/>
                <w:szCs w:val="21"/>
                <w14:textFill>
                  <w14:solidFill>
                    <w14:schemeClr w14:val="tx1"/>
                  </w14:solidFill>
                </w14:textFill>
              </w:rPr>
            </w:pPr>
            <w:r>
              <w:rPr>
                <w:rFonts w:hint="eastAsia" w:hAnsi="宋体"/>
                <w:color w:val="auto"/>
                <w:szCs w:val="21"/>
                <w:shd w:val="clear"/>
              </w:rPr>
              <w:t>具有</w:t>
            </w:r>
            <w:r>
              <w:rPr>
                <w:rFonts w:hint="eastAsia" w:ascii="宋体" w:hAnsi="宋体"/>
                <w:color w:val="auto"/>
                <w:sz w:val="21"/>
                <w:szCs w:val="21"/>
                <w:shd w:val="clear"/>
              </w:rPr>
              <w:t>以国内外</w:t>
            </w:r>
            <w:r>
              <w:rPr>
                <w:rFonts w:hint="eastAsia" w:ascii="宋体" w:hAnsi="宋体"/>
                <w:color w:val="auto"/>
                <w:sz w:val="21"/>
                <w:szCs w:val="21"/>
                <w:shd w:val="clear"/>
                <w:lang w:val="en-US" w:eastAsia="zh-CN"/>
              </w:rPr>
              <w:t>公认</w:t>
            </w:r>
            <w:r>
              <w:rPr>
                <w:rFonts w:hint="eastAsia" w:ascii="宋体" w:hAnsi="宋体"/>
                <w:color w:val="auto"/>
                <w:sz w:val="21"/>
                <w:szCs w:val="21"/>
                <w:shd w:val="clear"/>
              </w:rPr>
              <w:t>品牌及师生认可的网红店，以烘焙、咖啡、甜品（含冰淇淋）、西式快餐（冷餐、汉堡、三明治等）、鲜蔬饮料为主（注：该项目所引进或经营的品牌不得与学院现有品牌重叠）</w:t>
            </w:r>
            <w:r>
              <w:rPr>
                <w:rFonts w:hint="eastAsia" w:hAnsi="宋体"/>
                <w:color w:val="000000" w:themeColor="text1"/>
                <w:szCs w:val="21"/>
                <w:lang w:val="en-US" w:eastAsia="zh-CN"/>
                <w14:textFill>
                  <w14:solidFill>
                    <w14:schemeClr w14:val="tx1"/>
                  </w14:solidFill>
                </w14:textFill>
              </w:rPr>
              <w:t>的项目</w:t>
            </w:r>
            <w:r>
              <w:rPr>
                <w:rFonts w:hint="eastAsia" w:hAnsi="宋体"/>
                <w:color w:val="000000" w:themeColor="text1"/>
                <w:szCs w:val="21"/>
                <w14:textFill>
                  <w14:solidFill>
                    <w14:schemeClr w14:val="tx1"/>
                  </w14:solidFill>
                </w14:textFill>
              </w:rPr>
              <w:t>经营、合作或授权书（提供品牌的合作授权书或合作协议复印件加盖公章，原件备查）。有协议的，每一类协议得1分，最多得4分；</w:t>
            </w:r>
          </w:p>
          <w:p>
            <w:pPr>
              <w:keepNext w:val="0"/>
              <w:keepLines w:val="0"/>
              <w:pageBreakBefore w:val="0"/>
              <w:shd w:val="clear"/>
              <w:kinsoku/>
              <w:wordWrap/>
              <w:overflowPunct/>
              <w:topLinePunct w:val="0"/>
              <w:autoSpaceDE/>
              <w:autoSpaceDN/>
              <w:bidi w:val="0"/>
              <w:adjustRightInd/>
              <w:snapToGrid w:val="0"/>
              <w:spacing w:line="240" w:lineRule="exact"/>
              <w:textAlignment w:val="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承诺为本项目引入</w:t>
            </w:r>
            <w:r>
              <w:rPr>
                <w:rFonts w:hint="eastAsia" w:hAnsi="宋体"/>
                <w:color w:val="000000" w:themeColor="text1"/>
                <w:szCs w:val="21"/>
                <w:shd w:val="clear"/>
                <w:lang w:val="en-US" w:eastAsia="zh-CN"/>
                <w14:textFill>
                  <w14:solidFill>
                    <w14:schemeClr w14:val="tx1"/>
                  </w14:solidFill>
                </w14:textFill>
              </w:rPr>
              <w:t>公认</w:t>
            </w:r>
            <w:r>
              <w:rPr>
                <w:rFonts w:hint="eastAsia" w:hAnsi="宋体"/>
                <w:color w:val="000000" w:themeColor="text1"/>
                <w:szCs w:val="21"/>
                <w:shd w:val="clear"/>
                <w14:textFill>
                  <w14:solidFill>
                    <w14:schemeClr w14:val="tx1"/>
                  </w14:solidFill>
                </w14:textFill>
              </w:rPr>
              <w:t>餐饮</w:t>
            </w:r>
            <w:r>
              <w:rPr>
                <w:rFonts w:hint="eastAsia" w:hAnsi="宋体"/>
                <w:color w:val="000000" w:themeColor="text1"/>
                <w:szCs w:val="21"/>
                <w14:textFill>
                  <w14:solidFill>
                    <w14:schemeClr w14:val="tx1"/>
                  </w14:solidFill>
                </w14:textFill>
              </w:rPr>
              <w:t>品牌的，每提供一份承诺书的得1分，最多得3分。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jc w:val="left"/>
              <w:rPr>
                <w:color w:val="000000" w:themeColor="text1"/>
                <w:szCs w:val="21"/>
                <w14:textFill>
                  <w14:solidFill>
                    <w14:schemeClr w14:val="tx1"/>
                  </w14:solidFill>
                </w14:textFill>
              </w:rPr>
            </w:pPr>
          </w:p>
        </w:tc>
        <w:tc>
          <w:tcPr>
            <w:tcW w:w="1620" w:type="dxa"/>
            <w:vMerge w:val="continue"/>
            <w:vAlign w:val="center"/>
          </w:tcPr>
          <w:p>
            <w:pPr>
              <w:snapToGrid w:val="0"/>
              <w:jc w:val="center"/>
              <w:rPr>
                <w:color w:val="000000" w:themeColor="text1"/>
                <w:sz w:val="20"/>
                <w:szCs w:val="20"/>
                <w14:textFill>
                  <w14:solidFill>
                    <w14:schemeClr w14:val="tx1"/>
                  </w14:solidFill>
                </w14:textFill>
              </w:rPr>
            </w:pPr>
          </w:p>
        </w:tc>
        <w:tc>
          <w:tcPr>
            <w:tcW w:w="5378" w:type="dxa"/>
            <w:shd w:val="clear" w:color="auto" w:fill="auto"/>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hAnsi="宋体"/>
                <w:color w:val="000000" w:themeColor="text1"/>
                <w:szCs w:val="21"/>
                <w:shd w:val="clear"/>
                <w14:textFill>
                  <w14:solidFill>
                    <w14:schemeClr w14:val="tx1"/>
                  </w14:solidFill>
                </w14:textFill>
              </w:rPr>
              <w:t>20</w:t>
            </w:r>
            <w:r>
              <w:rPr>
                <w:rFonts w:hint="eastAsia" w:hAnsi="宋体"/>
                <w:color w:val="000000" w:themeColor="text1"/>
                <w:szCs w:val="21"/>
                <w:shd w:val="clear"/>
                <w:lang w:val="en-US" w:eastAsia="zh-CN"/>
                <w14:textFill>
                  <w14:solidFill>
                    <w14:schemeClr w14:val="tx1"/>
                  </w14:solidFill>
                </w14:textFill>
              </w:rPr>
              <w:t>20</w:t>
            </w:r>
            <w:r>
              <w:rPr>
                <w:rFonts w:hint="eastAsia" w:hAnsi="宋体"/>
                <w:color w:val="000000" w:themeColor="text1"/>
                <w:szCs w:val="21"/>
                <w:shd w:val="clear"/>
                <w14:textFill>
                  <w14:solidFill>
                    <w14:schemeClr w14:val="tx1"/>
                  </w14:solidFill>
                </w14:textFill>
              </w:rPr>
              <w:t>年</w:t>
            </w:r>
            <w:r>
              <w:rPr>
                <w:rFonts w:hint="eastAsia" w:hAnsi="宋体"/>
                <w:color w:val="000000" w:themeColor="text1"/>
                <w:szCs w:val="21"/>
                <w:shd w:val="clear"/>
                <w:lang w:val="en-US" w:eastAsia="zh-CN"/>
                <w14:textFill>
                  <w14:solidFill>
                    <w14:schemeClr w14:val="tx1"/>
                  </w14:solidFill>
                </w14:textFill>
              </w:rPr>
              <w:t>1</w:t>
            </w:r>
            <w:r>
              <w:rPr>
                <w:rFonts w:hint="eastAsia" w:hAnsi="宋体"/>
                <w:color w:val="000000" w:themeColor="text1"/>
                <w:szCs w:val="21"/>
                <w:shd w:val="clear"/>
                <w14:textFill>
                  <w14:solidFill>
                    <w14:schemeClr w14:val="tx1"/>
                  </w14:solidFill>
                </w14:textFill>
              </w:rPr>
              <w:t>月1日以后签订的正在履行的，或20</w:t>
            </w:r>
            <w:r>
              <w:rPr>
                <w:rFonts w:hint="eastAsia" w:hAnsi="宋体"/>
                <w:color w:val="000000" w:themeColor="text1"/>
                <w:szCs w:val="21"/>
                <w:shd w:val="clear"/>
                <w:lang w:val="en-US" w:eastAsia="zh-CN"/>
                <w14:textFill>
                  <w14:solidFill>
                    <w14:schemeClr w14:val="tx1"/>
                  </w14:solidFill>
                </w14:textFill>
              </w:rPr>
              <w:t>20</w:t>
            </w:r>
            <w:r>
              <w:rPr>
                <w:rFonts w:hint="eastAsia" w:hAnsi="宋体"/>
                <w:color w:val="000000" w:themeColor="text1"/>
                <w:szCs w:val="21"/>
                <w:shd w:val="clear"/>
                <w14:textFill>
                  <w14:solidFill>
                    <w14:schemeClr w14:val="tx1"/>
                  </w14:solidFill>
                </w14:textFill>
              </w:rPr>
              <w:t>年</w:t>
            </w:r>
            <w:r>
              <w:rPr>
                <w:rFonts w:hint="eastAsia" w:hAnsi="宋体"/>
                <w:color w:val="000000" w:themeColor="text1"/>
                <w:szCs w:val="21"/>
                <w:shd w:val="clear"/>
                <w:lang w:val="en-US" w:eastAsia="zh-CN"/>
                <w14:textFill>
                  <w14:solidFill>
                    <w14:schemeClr w14:val="tx1"/>
                  </w14:solidFill>
                </w14:textFill>
              </w:rPr>
              <w:t>1</w:t>
            </w:r>
            <w:r>
              <w:rPr>
                <w:rFonts w:hint="eastAsia" w:hAnsi="宋体"/>
                <w:color w:val="000000" w:themeColor="text1"/>
                <w:szCs w:val="21"/>
                <w:shd w:val="clear"/>
                <w14:textFill>
                  <w14:solidFill>
                    <w14:schemeClr w14:val="tx1"/>
                  </w14:solidFill>
                </w14:textFill>
              </w:rPr>
              <w:t>月1日</w:t>
            </w:r>
            <w:r>
              <w:rPr>
                <w:rFonts w:hint="eastAsia" w:hAnsi="宋体"/>
                <w:color w:val="000000" w:themeColor="text1"/>
                <w:szCs w:val="21"/>
                <w14:textFill>
                  <w14:solidFill>
                    <w14:schemeClr w14:val="tx1"/>
                  </w14:solidFill>
                </w14:textFill>
              </w:rPr>
              <w:t>之前签订仍在有效期内的，正在履行的大中专院校、企事业单位食堂、商铺或社会商业餐饮合同。每提供一个符合条件的餐饮经营合同，加</w:t>
            </w:r>
            <w:r>
              <w:rPr>
                <w:rFonts w:hint="eastAsia"/>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t>分，最高得</w:t>
            </w:r>
            <w:r>
              <w:rPr>
                <w:rFonts w:hint="eastAsia"/>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分。（同一地点项目不重复计算分值；无合同原件不得分）</w:t>
            </w:r>
          </w:p>
        </w:tc>
        <w:tc>
          <w:tcPr>
            <w:tcW w:w="696" w:type="dxa"/>
            <w:vAlign w:val="center"/>
          </w:tcPr>
          <w:p>
            <w:pPr>
              <w:snapToGrid w:val="0"/>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2" w:type="dxa"/>
            <w:vMerge w:val="continue"/>
            <w:vAlign w:val="center"/>
          </w:tcPr>
          <w:p>
            <w:pPr>
              <w:snapToGrid w:val="0"/>
              <w:rPr>
                <w:color w:val="000000" w:themeColor="text1"/>
                <w:szCs w:val="21"/>
                <w14:textFill>
                  <w14:solidFill>
                    <w14:schemeClr w14:val="tx1"/>
                  </w14:solidFill>
                </w14:textFill>
              </w:rPr>
            </w:pPr>
          </w:p>
        </w:tc>
        <w:tc>
          <w:tcPr>
            <w:tcW w:w="1620" w:type="dxa"/>
            <w:vAlign w:val="center"/>
          </w:tcPr>
          <w:p>
            <w:pPr>
              <w:snapToGrid w:val="0"/>
              <w:jc w:val="center"/>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企业获奖情况</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rFonts w:hAnsi="宋体"/>
                <w:color w:val="000000" w:themeColor="text1"/>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近3年</w:t>
            </w:r>
            <w:r>
              <w:rPr>
                <w:rFonts w:hint="eastAsia" w:hAnsi="宋体" w:cs="宋体"/>
                <w:color w:val="000000" w:themeColor="text1"/>
                <w:kern w:val="0"/>
                <w:szCs w:val="21"/>
                <w:shd w:val="clear"/>
                <w14:textFill>
                  <w14:solidFill>
                    <w14:schemeClr w14:val="tx1"/>
                  </w14:solidFill>
                </w14:textFill>
              </w:rPr>
              <w:t>（20</w:t>
            </w:r>
            <w:r>
              <w:rPr>
                <w:rFonts w:hint="eastAsia" w:hAnsi="宋体" w:cs="宋体"/>
                <w:color w:val="000000" w:themeColor="text1"/>
                <w:kern w:val="0"/>
                <w:szCs w:val="21"/>
                <w:shd w:val="clear"/>
                <w:lang w:val="en-US" w:eastAsia="zh-CN"/>
                <w14:textFill>
                  <w14:solidFill>
                    <w14:schemeClr w14:val="tx1"/>
                  </w14:solidFill>
                </w14:textFill>
              </w:rPr>
              <w:t>20</w:t>
            </w:r>
            <w:r>
              <w:rPr>
                <w:rFonts w:hint="eastAsia" w:hAnsi="宋体" w:cs="宋体"/>
                <w:color w:val="000000" w:themeColor="text1"/>
                <w:kern w:val="0"/>
                <w:szCs w:val="21"/>
                <w:shd w:val="clear"/>
                <w14:textFill>
                  <w14:solidFill>
                    <w14:schemeClr w14:val="tx1"/>
                  </w14:solidFill>
                </w14:textFill>
              </w:rPr>
              <w:t>年</w:t>
            </w:r>
            <w:r>
              <w:rPr>
                <w:rFonts w:hint="eastAsia" w:hAnsi="宋体" w:cs="宋体"/>
                <w:color w:val="000000" w:themeColor="text1"/>
                <w:kern w:val="0"/>
                <w:szCs w:val="21"/>
                <w:shd w:val="clear"/>
                <w:lang w:val="en-US" w:eastAsia="zh-CN"/>
                <w14:textFill>
                  <w14:solidFill>
                    <w14:schemeClr w14:val="tx1"/>
                  </w14:solidFill>
                </w14:textFill>
              </w:rPr>
              <w:t>1</w:t>
            </w:r>
            <w:r>
              <w:rPr>
                <w:rFonts w:hint="eastAsia" w:hAnsi="宋体" w:cs="宋体"/>
                <w:color w:val="000000" w:themeColor="text1"/>
                <w:kern w:val="0"/>
                <w:szCs w:val="21"/>
                <w:shd w:val="clear"/>
                <w14:textFill>
                  <w14:solidFill>
                    <w14:schemeClr w14:val="tx1"/>
                  </w14:solidFill>
                </w14:textFill>
              </w:rPr>
              <w:t>月1日之后）</w:t>
            </w:r>
            <w:r>
              <w:rPr>
                <w:rFonts w:hint="eastAsia" w:hAnsi="宋体" w:cs="宋体"/>
                <w:color w:val="000000" w:themeColor="text1"/>
                <w:kern w:val="0"/>
                <w:szCs w:val="21"/>
                <w14:textFill>
                  <w14:solidFill>
                    <w14:schemeClr w14:val="tx1"/>
                  </w14:solidFill>
                </w14:textFill>
              </w:rPr>
              <w:t>获得由省级及以上政府部门荣誉或奖项</w:t>
            </w:r>
            <w:r>
              <w:rPr>
                <w:rFonts w:hint="eastAsia" w:cs="宋体"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每提供一个得2分；省级及以上餐饮行业协会荣誉或奖项的，每提供一个得1分。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2" w:type="dxa"/>
            <w:vMerge w:val="restart"/>
            <w:vAlign w:val="center"/>
          </w:tcPr>
          <w:p>
            <w:pPr>
              <w:snapToGrid w:val="0"/>
              <w:jc w:val="left"/>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项目人员配置（10分）</w:t>
            </w:r>
          </w:p>
        </w:tc>
        <w:tc>
          <w:tcPr>
            <w:tcW w:w="1620" w:type="dxa"/>
            <w:vAlign w:val="center"/>
          </w:tcPr>
          <w:p>
            <w:pPr>
              <w:snapToGrid w:val="0"/>
              <w:jc w:val="center"/>
              <w:rPr>
                <w:rFonts w:hAnsi="宋体"/>
                <w:color w:val="000000" w:themeColor="text1"/>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项目经理资质</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项目经理具有管理类经理人高级资质的得2分，中级得1分；获得省级及以上颁发的个人相关荣誉称号的有一个得1分，最高得</w:t>
            </w:r>
            <w:r>
              <w:rPr>
                <w:rFonts w:hint="eastAsia" w:cs="宋体"/>
                <w:color w:val="000000" w:themeColor="text1"/>
                <w:kern w:val="0"/>
                <w:szCs w:val="21"/>
                <w14:textFill>
                  <w14:solidFill>
                    <w14:schemeClr w14:val="tx1"/>
                  </w14:solidFill>
                </w14:textFill>
              </w:rPr>
              <w:t>3</w:t>
            </w:r>
            <w:r>
              <w:rPr>
                <w:rFonts w:hint="eastAsia" w:hAnsi="宋体" w:cs="宋体"/>
                <w:color w:val="000000" w:themeColor="text1"/>
                <w:kern w:val="0"/>
                <w:szCs w:val="21"/>
                <w14:textFill>
                  <w14:solidFill>
                    <w14:schemeClr w14:val="tx1"/>
                  </w14:solidFill>
                </w14:textFill>
              </w:rPr>
              <w:t>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102" w:type="dxa"/>
            <w:vMerge w:val="continue"/>
            <w:vAlign w:val="center"/>
          </w:tcPr>
          <w:p>
            <w:pPr>
              <w:snapToGrid w:val="0"/>
              <w:jc w:val="left"/>
              <w:rPr>
                <w:color w:val="000000" w:themeColor="text1"/>
                <w:szCs w:val="21"/>
                <w14:textFill>
                  <w14:solidFill>
                    <w14:schemeClr w14:val="tx1"/>
                  </w14:solidFill>
                </w14:textFill>
              </w:rPr>
            </w:pPr>
          </w:p>
        </w:tc>
        <w:tc>
          <w:tcPr>
            <w:tcW w:w="1620" w:type="dxa"/>
            <w:vAlign w:val="center"/>
          </w:tcPr>
          <w:p>
            <w:pPr>
              <w:snapToGrid w:val="0"/>
              <w:jc w:val="center"/>
              <w:rPr>
                <w:rFonts w:cs="宋体"/>
                <w:color w:val="000000" w:themeColor="text1"/>
                <w:kern w:val="0"/>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经营团队配置</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rFonts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组织构成合理2分，一般1分，较差0分；项目人员具有西点、烘焙、饮品相关的烹饪技术等级证书最高得3分（高级的1分/个，最高得3分；中级的0.5分/个，最高得2分，两者可累加，最高得3分）；</w:t>
            </w:r>
            <w:r>
              <w:rPr>
                <w:rFonts w:cs="宋体"/>
                <w:color w:val="000000" w:themeColor="text1"/>
                <w:kern w:val="0"/>
                <w:szCs w:val="21"/>
                <w14:textFill>
                  <w14:solidFill>
                    <w14:schemeClr w14:val="tx1"/>
                  </w14:solidFill>
                </w14:textFill>
              </w:rPr>
              <w:t xml:space="preserve"> </w:t>
            </w:r>
            <w:r>
              <w:rPr>
                <w:rFonts w:hint="eastAsia" w:cs="宋体"/>
                <w:color w:val="000000" w:themeColor="text1"/>
                <w:kern w:val="0"/>
                <w:szCs w:val="21"/>
                <w14:textFill>
                  <w14:solidFill>
                    <w14:schemeClr w14:val="tx1"/>
                  </w14:solidFill>
                </w14:textFill>
              </w:rPr>
              <w:t>需提供相关人员对应资质复印件，加盖公章，材料不全不得分。</w:t>
            </w:r>
          </w:p>
        </w:tc>
        <w:tc>
          <w:tcPr>
            <w:tcW w:w="696" w:type="dxa"/>
            <w:vAlign w:val="center"/>
          </w:tcPr>
          <w:p>
            <w:pPr>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2" w:type="dxa"/>
            <w:vMerge w:val="restart"/>
            <w:vAlign w:val="center"/>
          </w:tcPr>
          <w:p>
            <w:pPr>
              <w:snapToGrid w:val="0"/>
              <w:rPr>
                <w:rFonts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项目经营保障服务具体方案（</w:t>
            </w:r>
            <w:r>
              <w:rPr>
                <w:rFonts w:hint="eastAsia" w:cs="宋体"/>
                <w:color w:val="000000" w:themeColor="text1"/>
                <w:kern w:val="0"/>
                <w:szCs w:val="21"/>
                <w14:textFill>
                  <w14:solidFill>
                    <w14:schemeClr w14:val="tx1"/>
                  </w14:solidFill>
                </w14:textFill>
              </w:rPr>
              <w:t>35分）</w:t>
            </w: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总体经营目标、思路</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了解高校特点，</w:t>
            </w:r>
            <w:r>
              <w:rPr>
                <w:rFonts w:hint="eastAsia" w:hAnsi="宋体"/>
                <w:color w:val="000000" w:themeColor="text1"/>
                <w:szCs w:val="21"/>
                <w14:textFill>
                  <w14:solidFill>
                    <w14:schemeClr w14:val="tx1"/>
                  </w14:solidFill>
                </w14:textFill>
              </w:rPr>
              <w:t>能够</w:t>
            </w:r>
            <w:r>
              <w:rPr>
                <w:rFonts w:hAnsi="宋体"/>
                <w:color w:val="000000" w:themeColor="text1"/>
                <w:szCs w:val="21"/>
                <w14:textFill>
                  <w14:solidFill>
                    <w14:schemeClr w14:val="tx1"/>
                  </w14:solidFill>
                </w14:textFill>
              </w:rPr>
              <w:t>从服务对象实际出发，把社会效益放在第一位，坚持社会效益和经济效益并重，评委根据其可行性和合理性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具体经营方案</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经营方案合理，思路清晰</w:t>
            </w:r>
            <w:r>
              <w:rPr>
                <w:rFonts w:hint="eastAsia" w:hAnsi="宋体"/>
                <w:color w:val="000000" w:themeColor="text1"/>
                <w:szCs w:val="21"/>
                <w14:textFill>
                  <w14:solidFill>
                    <w14:schemeClr w14:val="tx1"/>
                  </w14:solidFill>
                </w14:textFill>
              </w:rPr>
              <w:t>，引入餐饮品牌明确</w:t>
            </w:r>
            <w:r>
              <w:rPr>
                <w:rFonts w:hAnsi="宋体"/>
                <w:color w:val="000000" w:themeColor="text1"/>
                <w:szCs w:val="21"/>
                <w14:textFill>
                  <w14:solidFill>
                    <w14:schemeClr w14:val="tx1"/>
                  </w14:solidFill>
                </w14:textFill>
              </w:rPr>
              <w:t>。符合</w:t>
            </w:r>
            <w:r>
              <w:rPr>
                <w:rFonts w:hint="eastAsia" w:hAnsi="宋体"/>
                <w:color w:val="000000" w:themeColor="text1"/>
                <w:szCs w:val="21"/>
                <w14:textFill>
                  <w14:solidFill>
                    <w14:schemeClr w14:val="tx1"/>
                  </w14:solidFill>
                </w14:textFill>
              </w:rPr>
              <w:t>学院</w:t>
            </w:r>
            <w:r>
              <w:rPr>
                <w:rFonts w:hAnsi="宋体"/>
                <w:color w:val="000000" w:themeColor="text1"/>
                <w:szCs w:val="21"/>
                <w14:textFill>
                  <w14:solidFill>
                    <w14:schemeClr w14:val="tx1"/>
                  </w14:solidFill>
                </w14:textFill>
              </w:rPr>
              <w:t>学生</w:t>
            </w:r>
            <w:r>
              <w:rPr>
                <w:rFonts w:hint="eastAsia" w:hAnsi="宋体"/>
                <w:color w:val="000000" w:themeColor="text1"/>
                <w:szCs w:val="21"/>
                <w14:textFill>
                  <w14:solidFill>
                    <w14:schemeClr w14:val="tx1"/>
                  </w14:solidFill>
                </w14:textFill>
              </w:rPr>
              <w:t>消费特点；</w:t>
            </w:r>
            <w:r>
              <w:rPr>
                <w:rFonts w:hAnsi="宋体"/>
                <w:color w:val="000000" w:themeColor="text1"/>
                <w:szCs w:val="21"/>
                <w14:textFill>
                  <w14:solidFill>
                    <w14:schemeClr w14:val="tx1"/>
                  </w14:solidFill>
                </w14:textFill>
              </w:rPr>
              <w:t>供应食品品种丰富</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食品价格</w:t>
            </w:r>
            <w:r>
              <w:rPr>
                <w:rFonts w:hint="eastAsia" w:hAnsi="宋体"/>
                <w:color w:val="000000" w:themeColor="text1"/>
                <w:szCs w:val="21"/>
                <w14:textFill>
                  <w14:solidFill>
                    <w14:schemeClr w14:val="tx1"/>
                  </w14:solidFill>
                </w14:textFill>
              </w:rPr>
              <w:t>控制方案合理；</w:t>
            </w:r>
            <w:r>
              <w:rPr>
                <w:rFonts w:hAnsi="宋体"/>
                <w:color w:val="000000" w:themeColor="text1"/>
                <w:szCs w:val="21"/>
                <w14:textFill>
                  <w14:solidFill>
                    <w14:schemeClr w14:val="tx1"/>
                  </w14:solidFill>
                </w14:textFill>
              </w:rPr>
              <w:t>高中低档比例合适</w:t>
            </w:r>
            <w:r>
              <w:rPr>
                <w:rFonts w:hint="eastAsia" w:hAnsi="宋体"/>
                <w:color w:val="000000" w:themeColor="text1"/>
                <w:szCs w:val="21"/>
                <w14:textFill>
                  <w14:solidFill>
                    <w14:schemeClr w14:val="tx1"/>
                  </w14:solidFill>
                </w14:textFill>
              </w:rPr>
              <w:t>；毛利率控制方案合理。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w:t>
            </w:r>
            <w:r>
              <w:rPr>
                <w:rFonts w:hAnsi="宋体"/>
                <w:color w:val="000000" w:themeColor="text1"/>
                <w:szCs w:val="21"/>
                <w14:textFill>
                  <w14:solidFill>
                    <w14:schemeClr w14:val="tx1"/>
                  </w14:solidFill>
                </w14:textFill>
              </w:rPr>
              <w:t>9-10</w:t>
            </w:r>
            <w:r>
              <w:rPr>
                <w:rFonts w:hint="eastAsia" w:hAnsi="宋体"/>
                <w:color w:val="000000" w:themeColor="text1"/>
                <w:szCs w:val="21"/>
                <w14:textFill>
                  <w14:solidFill>
                    <w14:schemeClr w14:val="tx1"/>
                  </w14:solidFill>
                </w14:textFill>
              </w:rPr>
              <w:t>分，良得</w:t>
            </w:r>
            <w:r>
              <w:rPr>
                <w:rFonts w:hAnsi="宋体"/>
                <w:color w:val="000000" w:themeColor="text1"/>
                <w:szCs w:val="21"/>
                <w14:textFill>
                  <w14:solidFill>
                    <w14:schemeClr w14:val="tx1"/>
                  </w14:solidFill>
                </w14:textFill>
              </w:rPr>
              <w:t>7-8</w:t>
            </w:r>
            <w:r>
              <w:rPr>
                <w:rFonts w:hint="eastAsia" w:hAnsi="宋体"/>
                <w:color w:val="000000" w:themeColor="text1"/>
                <w:szCs w:val="21"/>
                <w14:textFill>
                  <w14:solidFill>
                    <w14:schemeClr w14:val="tx1"/>
                  </w14:solidFill>
                </w14:textFill>
              </w:rPr>
              <w:t>分，中得</w:t>
            </w:r>
            <w:r>
              <w:rPr>
                <w:rFonts w:hAnsi="宋体"/>
                <w:color w:val="000000" w:themeColor="text1"/>
                <w:szCs w:val="21"/>
                <w14:textFill>
                  <w14:solidFill>
                    <w14:schemeClr w14:val="tx1"/>
                  </w14:solidFill>
                </w14:textFill>
              </w:rPr>
              <w:t>6</w:t>
            </w:r>
            <w:r>
              <w:rPr>
                <w:rFonts w:hint="eastAsia" w:hAnsi="宋体"/>
                <w:color w:val="000000" w:themeColor="text1"/>
                <w:szCs w:val="21"/>
                <w14:textFill>
                  <w14:solidFill>
                    <w14:schemeClr w14:val="tx1"/>
                  </w14:solidFill>
                </w14:textFill>
              </w:rPr>
              <w:t>分，其它</w:t>
            </w:r>
            <w:r>
              <w:rPr>
                <w:rFonts w:hAnsi="宋体"/>
                <w:color w:val="000000" w:themeColor="text1"/>
                <w:szCs w:val="21"/>
                <w14:textFill>
                  <w14:solidFill>
                    <w14:schemeClr w14:val="tx1"/>
                  </w14:solidFill>
                </w14:textFill>
              </w:rPr>
              <w:t>6</w:t>
            </w:r>
            <w:r>
              <w:rPr>
                <w:rFonts w:hint="eastAsia" w:hAnsi="宋体"/>
                <w:color w:val="000000" w:themeColor="text1"/>
                <w:szCs w:val="21"/>
                <w14:textFill>
                  <w14:solidFill>
                    <w14:schemeClr w14:val="tx1"/>
                  </w14:solidFill>
                </w14:textFill>
              </w:rPr>
              <w:t>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snapToGrid w:val="0"/>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投标单位有合理化投资方案</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根据投资金额数和方案的科学、合理性程度进行打分。优得5分，良得4分，中得3分，其它3分以下。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管理措施、制度等</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能够按《食品安全法》和学院各项规定制定相关管理制度，评委根据制定的制度科学、合理和可操作性进行综合打分。优得5分，良得4分，中得3分，其它3分以下。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有关承诺与应急预案</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拟经营本项目餐厅中的各项自我承诺；有停水、停电、食物中毒等应急预案等。</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企业经营特色或创新</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对本项目在餐饮服务等方面是否有特色和创新点进行评分。优得5分，良得4分，中得3分，其它3分以下。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2722" w:type="dxa"/>
            <w:gridSpan w:val="2"/>
            <w:vAlign w:val="center"/>
          </w:tcPr>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项目装饰装修方案</w:t>
            </w:r>
          </w:p>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（20分）</w:t>
            </w:r>
          </w:p>
        </w:tc>
        <w:tc>
          <w:tcPr>
            <w:tcW w:w="5378" w:type="dxa"/>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rPr>
                <w:rFonts w:hAnsi="宋体"/>
                <w:color w:val="000000" w:themeColor="text1"/>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室内外装饰装修设计方案科学合理，设计说明中应有功能性描述；主辅材的选用要节能、环保，符合国家消防规范；施工工艺、施工组织设计科学和规范；有设计图、效果图等；功能定位准确、色彩搭配和谐、配套设备清单清晰、准确，</w:t>
            </w:r>
            <w:r>
              <w:rPr>
                <w:rFonts w:hint="eastAsia" w:hAnsi="宋体" w:cs="宋体"/>
                <w:color w:val="000000" w:themeColor="text1"/>
                <w:kern w:val="0"/>
                <w:szCs w:val="21"/>
                <w:shd w:val="clear"/>
                <w14:textFill>
                  <w14:solidFill>
                    <w14:schemeClr w14:val="tx1"/>
                  </w14:solidFill>
                </w14:textFill>
              </w:rPr>
              <w:t>装饰装修预算科学合理。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。优得18</w:t>
            </w: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0分，良得15</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17分，中得13</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15分，其它13分以下。</w:t>
            </w:r>
          </w:p>
        </w:tc>
        <w:tc>
          <w:tcPr>
            <w:tcW w:w="696" w:type="dxa"/>
            <w:vAlign w:val="center"/>
          </w:tcPr>
          <w:p>
            <w:pPr>
              <w:snapToGri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2722" w:type="dxa"/>
            <w:gridSpan w:val="2"/>
            <w:vAlign w:val="center"/>
          </w:tcPr>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项目设施设备配套方案</w:t>
            </w:r>
          </w:p>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（5分）</w:t>
            </w:r>
          </w:p>
        </w:tc>
        <w:tc>
          <w:tcPr>
            <w:tcW w:w="5378" w:type="dxa"/>
            <w:vAlign w:val="center"/>
          </w:tcPr>
          <w:p>
            <w:pPr>
              <w:keepNext w:val="0"/>
              <w:keepLines w:val="0"/>
              <w:pageBreakBefore w:val="0"/>
              <w:widowControl/>
              <w:kinsoku/>
              <w:wordWrap/>
              <w:overflowPunct/>
              <w:topLinePunct w:val="0"/>
              <w:autoSpaceDE/>
              <w:autoSpaceDN/>
              <w:bidi w:val="0"/>
              <w:adjustRightInd/>
              <w:snapToGrid w:val="0"/>
              <w:spacing w:line="240" w:lineRule="exact"/>
              <w:textAlignment w:val="auto"/>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设施设备配套方案科学合理，条目清晰，方案中应有功能性描述、技术参数、外观以及入场安装要求等。设施设备应遵循节能降耗、环保，符合国家消防规范、卫生规范；设备水电接入条件应充分结合现场勘查结果，科学配置</w:t>
            </w:r>
            <w:r>
              <w:rPr>
                <w:rFonts w:hint="eastAsia" w:hAnsi="宋体" w:cs="宋体"/>
                <w:color w:val="000000" w:themeColor="text1"/>
                <w:kern w:val="0"/>
                <w:szCs w:val="21"/>
                <w:lang w:eastAsia="zh-CN"/>
                <w14:textFill>
                  <w14:solidFill>
                    <w14:schemeClr w14:val="tx1"/>
                  </w14:solidFill>
                </w14:textFill>
              </w:rPr>
              <w:t>，</w:t>
            </w:r>
            <w:r>
              <w:rPr>
                <w:rFonts w:hint="eastAsia" w:hAnsi="宋体" w:cs="宋体"/>
                <w:color w:val="000000" w:themeColor="text1"/>
                <w:kern w:val="0"/>
                <w:szCs w:val="21"/>
                <w:shd w:val="clear"/>
                <w:lang w:val="en-US" w:eastAsia="zh-CN"/>
                <w14:textFill>
                  <w14:solidFill>
                    <w14:schemeClr w14:val="tx1"/>
                  </w14:solidFill>
                </w14:textFill>
              </w:rPr>
              <w:t>设施设备预算分配合理</w:t>
            </w:r>
            <w:r>
              <w:rPr>
                <w:rFonts w:hint="eastAsia" w:hAnsi="宋体" w:cs="宋体"/>
                <w:color w:val="000000" w:themeColor="text1"/>
                <w:kern w:val="0"/>
                <w:szCs w:val="21"/>
                <w:shd w:val="clear"/>
                <w14:textFill>
                  <w14:solidFill>
                    <w14:schemeClr w14:val="tx1"/>
                  </w14:solidFill>
                </w14:textFill>
              </w:rPr>
              <w:t>。</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。优得4-5分，良得2-3分，中得1分，其它不得分。</w:t>
            </w:r>
          </w:p>
        </w:tc>
        <w:tc>
          <w:tcPr>
            <w:tcW w:w="696" w:type="dxa"/>
            <w:vAlign w:val="center"/>
          </w:tcPr>
          <w:p>
            <w:pPr>
              <w:snapToGri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722" w:type="dxa"/>
            <w:gridSpan w:val="2"/>
            <w:vAlign w:val="center"/>
          </w:tcPr>
          <w:p>
            <w:pPr>
              <w:snapToGrid w:val="0"/>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现场答辩（8分）</w:t>
            </w:r>
          </w:p>
        </w:tc>
        <w:tc>
          <w:tcPr>
            <w:tcW w:w="5378" w:type="dxa"/>
            <w:vAlign w:val="center"/>
          </w:tcPr>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答辩人员必须是本项目拟聘的项目经理。投标人需要介绍本企业概况、经营业绩、对项目规</w:t>
            </w:r>
            <w:r>
              <w:rPr>
                <w:rFonts w:hint="eastAsia"/>
                <w:color w:val="000000" w:themeColor="text1"/>
                <w:shd w:val="clear"/>
                <w14:textFill>
                  <w14:solidFill>
                    <w14:schemeClr w14:val="tx1"/>
                  </w14:solidFill>
                </w14:textFill>
              </w:rPr>
              <w:t>划区域的调研情况，陈述该项目的总体经营目标和思路，</w:t>
            </w:r>
            <w:r>
              <w:rPr>
                <w:rFonts w:hint="eastAsia"/>
                <w:color w:val="000000" w:themeColor="text1"/>
                <w:shd w:val="clear"/>
                <w:lang w:val="en-US" w:eastAsia="zh-CN"/>
                <w14:textFill>
                  <w14:solidFill>
                    <w14:schemeClr w14:val="tx1"/>
                  </w14:solidFill>
                </w14:textFill>
              </w:rPr>
              <w:t>预算投入分配情况，</w:t>
            </w:r>
            <w:r>
              <w:rPr>
                <w:rFonts w:hint="eastAsia"/>
                <w:color w:val="000000" w:themeColor="text1"/>
                <w14:textFill>
                  <w14:solidFill>
                    <w14:schemeClr w14:val="tx1"/>
                  </w14:solidFill>
                </w14:textFill>
              </w:rPr>
              <w:t>就现场管理、前后场布局及工作流程、装修方案特色特点进行陈述，并回答评标小组现场提问。答辩时长约10分钟，陈述3-5分钟。</w:t>
            </w:r>
          </w:p>
          <w:p>
            <w:pPr>
              <w:keepNext w:val="0"/>
              <w:keepLines w:val="0"/>
              <w:pageBreakBefore w:val="0"/>
              <w:kinsoku/>
              <w:wordWrap/>
              <w:overflowPunct/>
              <w:topLinePunct w:val="0"/>
              <w:autoSpaceDE/>
              <w:autoSpaceDN/>
              <w:bidi w:val="0"/>
              <w:adjustRightInd/>
              <w:snapToGrid w:val="0"/>
              <w:spacing w:line="240" w:lineRule="exact"/>
              <w:textAlignment w:val="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评委根据答辩情况以及投标文件陈述情况综合打分。</w:t>
            </w:r>
            <w:r>
              <w:rPr>
                <w:rFonts w:hint="eastAsia" w:hAnsi="宋体"/>
                <w:color w:val="000000" w:themeColor="text1"/>
                <w:szCs w:val="21"/>
                <w14:textFill>
                  <w14:solidFill>
                    <w14:schemeClr w14:val="tx1"/>
                  </w14:solidFill>
                </w14:textFill>
              </w:rPr>
              <w:t>优得</w:t>
            </w:r>
            <w:r>
              <w:rPr>
                <w:rFonts w:hAnsi="宋体"/>
                <w:color w:val="000000" w:themeColor="text1"/>
                <w:szCs w:val="21"/>
                <w14:textFill>
                  <w14:solidFill>
                    <w14:schemeClr w14:val="tx1"/>
                  </w14:solidFill>
                </w14:textFill>
              </w:rPr>
              <w:t>8</w:t>
            </w:r>
            <w:r>
              <w:rPr>
                <w:rFonts w:hint="eastAsia" w:hAnsi="宋体"/>
                <w:color w:val="000000" w:themeColor="text1"/>
                <w:szCs w:val="21"/>
                <w14:textFill>
                  <w14:solidFill>
                    <w14:schemeClr w14:val="tx1"/>
                  </w14:solidFill>
                </w14:textFill>
              </w:rPr>
              <w:t>分，良得</w:t>
            </w:r>
            <w:r>
              <w:rPr>
                <w:rFonts w:hAnsi="宋体"/>
                <w:color w:val="000000" w:themeColor="text1"/>
                <w:szCs w:val="21"/>
                <w14:textFill>
                  <w14:solidFill>
                    <w14:schemeClr w14:val="tx1"/>
                  </w14:solidFill>
                </w14:textFill>
              </w:rPr>
              <w:t>6-7</w:t>
            </w:r>
            <w:r>
              <w:rPr>
                <w:rFonts w:hint="eastAsia" w:hAnsi="宋体"/>
                <w:color w:val="000000" w:themeColor="text1"/>
                <w:szCs w:val="21"/>
                <w14:textFill>
                  <w14:solidFill>
                    <w14:schemeClr w14:val="tx1"/>
                  </w14:solidFill>
                </w14:textFill>
              </w:rPr>
              <w:t>分，中得</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分，其它</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r>
    </w:tbl>
    <w:p>
      <w:pPr>
        <w:rPr>
          <w:color w:val="000000" w:themeColor="text1"/>
          <w14:textFill>
            <w14:solidFill>
              <w14:schemeClr w14:val="tx1"/>
            </w14:solidFill>
          </w14:textFill>
        </w:rPr>
      </w:pPr>
    </w:p>
    <w:p>
      <w:pPr>
        <w:pStyle w:val="18"/>
        <w:numPr>
          <w:ilvl w:val="0"/>
          <w:numId w:val="0"/>
        </w:numPr>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188910-E0EE-406E-9083-91D8417871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3F5DA824-DF77-4691-BF34-7A8ACCAC5201}"/>
  </w:font>
  <w:font w:name="方正小标宋简体">
    <w:panose1 w:val="03000509000000000000"/>
    <w:charset w:val="86"/>
    <w:family w:val="script"/>
    <w:pitch w:val="default"/>
    <w:sig w:usb0="00000001" w:usb1="080E0000" w:usb2="00000000" w:usb3="00000000" w:csb0="00040000" w:csb1="00000000"/>
    <w:embedRegular r:id="rId3" w:fontKey="{42965259-F414-4F43-961C-968AEA5C193E}"/>
  </w:font>
  <w:font w:name="楷体">
    <w:panose1 w:val="02010609060101010101"/>
    <w:charset w:val="86"/>
    <w:family w:val="modern"/>
    <w:pitch w:val="default"/>
    <w:sig w:usb0="800002BF" w:usb1="38CF7CFA" w:usb2="00000016" w:usb3="00000000" w:csb0="00040001" w:csb1="00000000"/>
    <w:embedRegular r:id="rId4" w:fontKey="{A39A3481-D5A5-4D7B-87C9-E4BAF66BC2B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9922510</wp:posOffset>
              </wp:positionV>
              <wp:extent cx="16637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3pt;height:12pt;width:13.1pt;mso-position-horizontal-relative:page;mso-position-vertical-relative:page;z-index:-251657216;mso-width-relative:page;mso-height-relative:page;" filled="f" stroked="f" coordsize="21600,21600" o:gfxdata="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c/fC0cRP&#10;37+dfvw6/fzKKEcGDQEb6rsL1JnGNzBS85RHSmbdo44uf0kRozrZe7zaq8bEZD60XD5/RRVJpfnL&#10;xYu62F/dHw4R01sFjuWg5ZGmV0wVh/eYiAi1Ti35Lg+3xtoyQev/SlBjzlSZ+ZlhjtK4HS9yttAd&#10;SY1958nL/C6mIE7Bdgr2IZ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Caut2gAAAA0BAAAPAAAAAAAAAAEAIAAAACIAAABkcnMvZG93bnJldi54bWxQSwEC&#10;FAAUAAAACACHTuJAUUrpUrkBAABzAwAADgAAAAAAAAABACAAAAApAQAAZHJzL2Uyb0RvYy54bWxQ&#10;SwUGAAAAAAYABgBZAQAAVAU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C94A4"/>
    <w:multiLevelType w:val="singleLevel"/>
    <w:tmpl w:val="9C9C94A4"/>
    <w:lvl w:ilvl="0" w:tentative="0">
      <w:start w:val="4"/>
      <w:numFmt w:val="chineseCounting"/>
      <w:suff w:val="space"/>
      <w:lvlText w:val="第%1章"/>
      <w:lvlJc w:val="left"/>
      <w:rPr>
        <w:rFonts w:hint="eastAsia"/>
      </w:rPr>
    </w:lvl>
  </w:abstractNum>
  <w:abstractNum w:abstractNumId="1">
    <w:nsid w:val="09DC7194"/>
    <w:multiLevelType w:val="multilevel"/>
    <w:tmpl w:val="09DC7194"/>
    <w:lvl w:ilvl="0" w:tentative="0">
      <w:start w:val="1"/>
      <w:numFmt w:val="decimal"/>
      <w:pStyle w:val="18"/>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 w:name="KSO_WPS_MARK_KEY" w:val="418d18a6-5f07-4cba-bc13-89b60e09266c"/>
  </w:docVars>
  <w:rsids>
    <w:rsidRoot w:val="26A40C5B"/>
    <w:rsid w:val="00031662"/>
    <w:rsid w:val="0007639D"/>
    <w:rsid w:val="000816E2"/>
    <w:rsid w:val="000B70BD"/>
    <w:rsid w:val="0013192E"/>
    <w:rsid w:val="00153042"/>
    <w:rsid w:val="00180610"/>
    <w:rsid w:val="00286A01"/>
    <w:rsid w:val="003132B9"/>
    <w:rsid w:val="003469FE"/>
    <w:rsid w:val="00387003"/>
    <w:rsid w:val="003A23F5"/>
    <w:rsid w:val="003B3523"/>
    <w:rsid w:val="003B5A5E"/>
    <w:rsid w:val="004269AB"/>
    <w:rsid w:val="00452577"/>
    <w:rsid w:val="00471E8B"/>
    <w:rsid w:val="00496054"/>
    <w:rsid w:val="004E0B93"/>
    <w:rsid w:val="00555BD7"/>
    <w:rsid w:val="0056421F"/>
    <w:rsid w:val="00586C81"/>
    <w:rsid w:val="005F5F5C"/>
    <w:rsid w:val="006366D2"/>
    <w:rsid w:val="006B32D9"/>
    <w:rsid w:val="006F724E"/>
    <w:rsid w:val="0070467A"/>
    <w:rsid w:val="00706645"/>
    <w:rsid w:val="00710790"/>
    <w:rsid w:val="007471C8"/>
    <w:rsid w:val="00753D35"/>
    <w:rsid w:val="0076400E"/>
    <w:rsid w:val="00885E9D"/>
    <w:rsid w:val="008E020B"/>
    <w:rsid w:val="008E7827"/>
    <w:rsid w:val="00916FB7"/>
    <w:rsid w:val="009C138B"/>
    <w:rsid w:val="009E52DF"/>
    <w:rsid w:val="009E6561"/>
    <w:rsid w:val="00A23B85"/>
    <w:rsid w:val="00A42C29"/>
    <w:rsid w:val="00A63A45"/>
    <w:rsid w:val="00AE008C"/>
    <w:rsid w:val="00B244FF"/>
    <w:rsid w:val="00B31EA9"/>
    <w:rsid w:val="00C110B5"/>
    <w:rsid w:val="00C16CF1"/>
    <w:rsid w:val="00C475AB"/>
    <w:rsid w:val="00CF41CB"/>
    <w:rsid w:val="00D772EA"/>
    <w:rsid w:val="00DA31CC"/>
    <w:rsid w:val="00DD3C61"/>
    <w:rsid w:val="00DF6199"/>
    <w:rsid w:val="00E65318"/>
    <w:rsid w:val="00EA70C7"/>
    <w:rsid w:val="00EB7F44"/>
    <w:rsid w:val="00F54733"/>
    <w:rsid w:val="00F64162"/>
    <w:rsid w:val="00FC3455"/>
    <w:rsid w:val="00FD095F"/>
    <w:rsid w:val="022A49B8"/>
    <w:rsid w:val="02F541A7"/>
    <w:rsid w:val="02F660C5"/>
    <w:rsid w:val="037203C5"/>
    <w:rsid w:val="03D76D0E"/>
    <w:rsid w:val="05561E2E"/>
    <w:rsid w:val="062F3DF0"/>
    <w:rsid w:val="06C61106"/>
    <w:rsid w:val="07025291"/>
    <w:rsid w:val="07930E94"/>
    <w:rsid w:val="07E326DC"/>
    <w:rsid w:val="0C0F44BF"/>
    <w:rsid w:val="11170811"/>
    <w:rsid w:val="11836C81"/>
    <w:rsid w:val="164E4CC1"/>
    <w:rsid w:val="164F1DDB"/>
    <w:rsid w:val="166E3738"/>
    <w:rsid w:val="17836F1E"/>
    <w:rsid w:val="181D494B"/>
    <w:rsid w:val="1A5F12AA"/>
    <w:rsid w:val="1ADC5C4A"/>
    <w:rsid w:val="1CC66B46"/>
    <w:rsid w:val="1DFF320A"/>
    <w:rsid w:val="1F4F2651"/>
    <w:rsid w:val="208148D9"/>
    <w:rsid w:val="20AB4B80"/>
    <w:rsid w:val="21492E63"/>
    <w:rsid w:val="22E74317"/>
    <w:rsid w:val="237872A7"/>
    <w:rsid w:val="23EB383E"/>
    <w:rsid w:val="23F71929"/>
    <w:rsid w:val="24AF6EA7"/>
    <w:rsid w:val="25517249"/>
    <w:rsid w:val="266E0E83"/>
    <w:rsid w:val="26A40C5B"/>
    <w:rsid w:val="26A86706"/>
    <w:rsid w:val="26F66833"/>
    <w:rsid w:val="27A85178"/>
    <w:rsid w:val="28444D09"/>
    <w:rsid w:val="28F6721F"/>
    <w:rsid w:val="29712D49"/>
    <w:rsid w:val="2B340871"/>
    <w:rsid w:val="2B3D331B"/>
    <w:rsid w:val="2BE421D1"/>
    <w:rsid w:val="2CC2018F"/>
    <w:rsid w:val="2CEF2FEF"/>
    <w:rsid w:val="2D3525CF"/>
    <w:rsid w:val="2D940F46"/>
    <w:rsid w:val="31BC0E73"/>
    <w:rsid w:val="344E3F1A"/>
    <w:rsid w:val="36CA095C"/>
    <w:rsid w:val="387B541E"/>
    <w:rsid w:val="39643D30"/>
    <w:rsid w:val="398C5B99"/>
    <w:rsid w:val="3A0D781A"/>
    <w:rsid w:val="3A163778"/>
    <w:rsid w:val="3A3C564E"/>
    <w:rsid w:val="3AD77263"/>
    <w:rsid w:val="3B4007CD"/>
    <w:rsid w:val="3B4717EF"/>
    <w:rsid w:val="3C9445E1"/>
    <w:rsid w:val="3CDE2156"/>
    <w:rsid w:val="3D002AA6"/>
    <w:rsid w:val="3D490368"/>
    <w:rsid w:val="3ECD4A31"/>
    <w:rsid w:val="3FA61302"/>
    <w:rsid w:val="406D1DB5"/>
    <w:rsid w:val="40804093"/>
    <w:rsid w:val="41256A55"/>
    <w:rsid w:val="43600CC9"/>
    <w:rsid w:val="437266FD"/>
    <w:rsid w:val="456B32BD"/>
    <w:rsid w:val="458E417D"/>
    <w:rsid w:val="47CD0043"/>
    <w:rsid w:val="481F6154"/>
    <w:rsid w:val="48C821A7"/>
    <w:rsid w:val="4BE2172D"/>
    <w:rsid w:val="4CFA1329"/>
    <w:rsid w:val="4D7B697B"/>
    <w:rsid w:val="4E115192"/>
    <w:rsid w:val="4E433AE6"/>
    <w:rsid w:val="4F285398"/>
    <w:rsid w:val="52E35B7C"/>
    <w:rsid w:val="534D0D30"/>
    <w:rsid w:val="53942BF3"/>
    <w:rsid w:val="53B970C0"/>
    <w:rsid w:val="579745CF"/>
    <w:rsid w:val="58D61A7B"/>
    <w:rsid w:val="5A924856"/>
    <w:rsid w:val="5C2E060F"/>
    <w:rsid w:val="5D211D97"/>
    <w:rsid w:val="5E4F22B2"/>
    <w:rsid w:val="5F6B5A41"/>
    <w:rsid w:val="5F8E0C8E"/>
    <w:rsid w:val="60B22AFC"/>
    <w:rsid w:val="62091585"/>
    <w:rsid w:val="62FE0977"/>
    <w:rsid w:val="66496A22"/>
    <w:rsid w:val="69B10A54"/>
    <w:rsid w:val="69EF1D2C"/>
    <w:rsid w:val="6A37127C"/>
    <w:rsid w:val="6A6537F6"/>
    <w:rsid w:val="6C6A6FBB"/>
    <w:rsid w:val="6D464F20"/>
    <w:rsid w:val="6D772A28"/>
    <w:rsid w:val="6FEC20A5"/>
    <w:rsid w:val="710F57A2"/>
    <w:rsid w:val="71E85518"/>
    <w:rsid w:val="72706C2F"/>
    <w:rsid w:val="76BE7D40"/>
    <w:rsid w:val="76C042CC"/>
    <w:rsid w:val="76F93003"/>
    <w:rsid w:val="77B43362"/>
    <w:rsid w:val="79CF138F"/>
    <w:rsid w:val="7A0E659D"/>
    <w:rsid w:val="7A7A6384"/>
    <w:rsid w:val="7AEA3ADF"/>
    <w:rsid w:val="7B7D4033"/>
    <w:rsid w:val="7C226542"/>
    <w:rsid w:val="7D600FB3"/>
    <w:rsid w:val="7E6B1702"/>
    <w:rsid w:val="7E8D588E"/>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9">
    <w:name w:val="index 4"/>
    <w:basedOn w:val="1"/>
    <w:next w:val="1"/>
    <w:qFormat/>
    <w:uiPriority w:val="0"/>
    <w:pPr>
      <w:ind w:left="600" w:leftChars="600"/>
    </w:pPr>
  </w:style>
  <w:style w:type="paragraph" w:styleId="10">
    <w:name w:val="Balloon Text"/>
    <w:basedOn w:val="1"/>
    <w:link w:val="27"/>
    <w:qFormat/>
    <w:uiPriority w:val="0"/>
    <w:rPr>
      <w:sz w:val="18"/>
      <w:szCs w:val="18"/>
    </w:rPr>
  </w:style>
  <w:style w:type="paragraph" w:styleId="11">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First Indent"/>
    <w:basedOn w:val="4"/>
    <w:qFormat/>
    <w:uiPriority w:val="0"/>
    <w:pPr>
      <w:ind w:firstLine="420" w:firstLineChars="100"/>
    </w:pPr>
    <w:rPr>
      <w:rFonts w:eastAsia="仿宋_GB2312"/>
      <w:szCs w:val="20"/>
    </w:rPr>
  </w:style>
  <w:style w:type="character" w:styleId="16">
    <w:name w:val="page number"/>
    <w:qFormat/>
    <w:uiPriority w:val="0"/>
  </w:style>
  <w:style w:type="paragraph" w:customStyle="1" w:styleId="17">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8">
    <w:name w:val="样式1"/>
    <w:basedOn w:val="1"/>
    <w:qFormat/>
    <w:uiPriority w:val="0"/>
    <w:pPr>
      <w:numPr>
        <w:ilvl w:val="0"/>
        <w:numId w:val="2"/>
      </w:numPr>
      <w:adjustRightInd w:val="0"/>
    </w:pPr>
    <w:rPr>
      <w:rFonts w:ascii="宋体" w:hAnsi="宋体"/>
      <w:kern w:val="0"/>
      <w:szCs w:val="21"/>
    </w:rPr>
  </w:style>
  <w:style w:type="character" w:customStyle="1" w:styleId="19">
    <w:name w:val="font21"/>
    <w:qFormat/>
    <w:uiPriority w:val="0"/>
    <w:rPr>
      <w:rFonts w:hint="eastAsia" w:ascii="宋体" w:hAnsi="宋体" w:eastAsia="宋体" w:cs="宋体"/>
      <w:b/>
      <w:bCs/>
      <w:color w:val="000000"/>
      <w:sz w:val="24"/>
      <w:szCs w:val="24"/>
      <w:u w:val="single"/>
    </w:rPr>
  </w:style>
  <w:style w:type="character" w:customStyle="1" w:styleId="20">
    <w:name w:val="font31"/>
    <w:qFormat/>
    <w:uiPriority w:val="0"/>
    <w:rPr>
      <w:rFonts w:hint="eastAsia" w:ascii="宋体" w:hAnsi="宋体" w:eastAsia="宋体" w:cs="宋体"/>
      <w:b/>
      <w:bCs/>
      <w:color w:val="000000"/>
      <w:sz w:val="24"/>
      <w:szCs w:val="24"/>
      <w:u w:val="none"/>
    </w:rPr>
  </w:style>
  <w:style w:type="paragraph" w:customStyle="1" w:styleId="21">
    <w:name w:val="样式 宋体 五号 两端对齐 行距: 单倍行距"/>
    <w:basedOn w:val="1"/>
    <w:qFormat/>
    <w:uiPriority w:val="0"/>
    <w:pPr>
      <w:adjustRightInd w:val="0"/>
    </w:pPr>
    <w:rPr>
      <w:rFonts w:ascii="宋体" w:hAnsi="宋体"/>
      <w:kern w:val="0"/>
      <w:szCs w:val="20"/>
    </w:rPr>
  </w:style>
  <w:style w:type="paragraph" w:customStyle="1" w:styleId="22">
    <w:name w:val="_Style 83"/>
    <w:basedOn w:val="4"/>
    <w:next w:val="13"/>
    <w:qFormat/>
    <w:uiPriority w:val="0"/>
    <w:pPr>
      <w:ind w:firstLine="420" w:firstLineChars="100"/>
    </w:pPr>
    <w:rPr>
      <w:rFonts w:eastAsia="仿宋_GB2312"/>
      <w:szCs w:val="20"/>
    </w:rPr>
  </w:style>
  <w:style w:type="paragraph" w:customStyle="1" w:styleId="23">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4">
    <w:name w:val="首行缩进"/>
    <w:basedOn w:val="1"/>
    <w:qFormat/>
    <w:uiPriority w:val="0"/>
    <w:pPr>
      <w:widowControl/>
      <w:ind w:firstLine="480" w:firstLineChars="200"/>
      <w:jc w:val="left"/>
    </w:pPr>
    <w:rPr>
      <w:kern w:val="0"/>
      <w:sz w:val="24"/>
      <w:szCs w:val="20"/>
      <w:lang w:val="zh-CN" w:eastAsia="en-US"/>
    </w:rPr>
  </w:style>
  <w:style w:type="paragraph" w:customStyle="1" w:styleId="25">
    <w:name w:val="Table Paragraph"/>
    <w:basedOn w:val="1"/>
    <w:qFormat/>
    <w:uiPriority w:val="1"/>
    <w:rPr>
      <w:rFonts w:ascii="宋体" w:hAnsi="宋体" w:cs="宋体"/>
      <w:lang w:val="zh-CN" w:bidi="zh-CN"/>
    </w:rPr>
  </w:style>
  <w:style w:type="character" w:customStyle="1" w:styleId="26">
    <w:name w:val="页眉 Char"/>
    <w:basedOn w:val="15"/>
    <w:link w:val="12"/>
    <w:qFormat/>
    <w:uiPriority w:val="0"/>
    <w:rPr>
      <w:kern w:val="2"/>
      <w:sz w:val="18"/>
      <w:szCs w:val="18"/>
    </w:rPr>
  </w:style>
  <w:style w:type="character" w:customStyle="1" w:styleId="27">
    <w:name w:val="批注框文本 Char"/>
    <w:basedOn w:val="15"/>
    <w:link w:val="10"/>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27</Pages>
  <Words>18412</Words>
  <Characters>19109</Characters>
  <Lines>146</Lines>
  <Paragraphs>41</Paragraphs>
  <TotalTime>11</TotalTime>
  <ScaleCrop>false</ScaleCrop>
  <LinksUpToDate>false</LinksUpToDate>
  <CharactersWithSpaces>20362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cp:lastPrinted>2022-09-23T01:40:00Z</cp:lastPrinted>
  <dcterms:modified xsi:type="dcterms:W3CDTF">2023-03-03T08:23:36Z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E29E05735EA24C9DBAABAD542A89CBD7</vt:lpwstr>
  </property>
</Properties>
</file>